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3A" w:rsidRPr="00134D7C" w:rsidRDefault="00E9563A" w:rsidP="00E9563A">
      <w:pPr>
        <w:keepNext/>
        <w:keepLines/>
        <w:spacing w:after="0" w:line="240" w:lineRule="auto"/>
        <w:ind w:left="5103"/>
        <w:jc w:val="center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134D7C">
        <w:rPr>
          <w:rFonts w:ascii="Times New Roman" w:eastAsia="Times New Roman" w:hAnsi="Times New Roman"/>
          <w:bCs/>
          <w:sz w:val="24"/>
          <w:szCs w:val="24"/>
        </w:rPr>
        <w:t>Приложение</w:t>
      </w:r>
    </w:p>
    <w:p w:rsidR="001B1E76" w:rsidRDefault="00E9563A" w:rsidP="00E9563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к постановлению </w:t>
      </w:r>
      <w:r w:rsidR="00BE3F35" w:rsidRPr="00134D7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9563A" w:rsidRPr="00134D7C" w:rsidRDefault="00BE3F35" w:rsidP="00E9563A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34D7C">
        <w:rPr>
          <w:rFonts w:ascii="Times New Roman" w:hAnsi="Times New Roman"/>
          <w:sz w:val="24"/>
          <w:szCs w:val="24"/>
        </w:rPr>
        <w:t>города Воткинска</w:t>
      </w:r>
    </w:p>
    <w:p w:rsidR="00E9563A" w:rsidRPr="00134D7C" w:rsidRDefault="00E9563A" w:rsidP="00BE3F3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от ___ </w:t>
      </w:r>
      <w:r w:rsidR="00BE3F35" w:rsidRPr="00134D7C">
        <w:rPr>
          <w:rFonts w:ascii="Times New Roman" w:hAnsi="Times New Roman"/>
          <w:sz w:val="24"/>
          <w:szCs w:val="24"/>
        </w:rPr>
        <w:t>февраля</w:t>
      </w:r>
      <w:r w:rsidRPr="00134D7C">
        <w:rPr>
          <w:rFonts w:ascii="Times New Roman" w:hAnsi="Times New Roman"/>
          <w:sz w:val="24"/>
          <w:szCs w:val="24"/>
        </w:rPr>
        <w:t xml:space="preserve"> 201</w:t>
      </w:r>
      <w:r w:rsidR="00BE3F35" w:rsidRPr="00134D7C">
        <w:rPr>
          <w:rFonts w:ascii="Times New Roman" w:hAnsi="Times New Roman"/>
          <w:sz w:val="24"/>
          <w:szCs w:val="24"/>
        </w:rPr>
        <w:t>9</w:t>
      </w:r>
      <w:r w:rsidRPr="00134D7C">
        <w:rPr>
          <w:rFonts w:ascii="Times New Roman" w:hAnsi="Times New Roman"/>
          <w:sz w:val="24"/>
          <w:szCs w:val="24"/>
        </w:rPr>
        <w:t xml:space="preserve"> года №______</w:t>
      </w:r>
    </w:p>
    <w:p w:rsidR="00E9563A" w:rsidRPr="00134D7C" w:rsidRDefault="00E9563A" w:rsidP="00E9563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9563A" w:rsidRPr="00134D7C" w:rsidRDefault="00E9563A" w:rsidP="00134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31"/>
      <w:bookmarkEnd w:id="0"/>
      <w:r w:rsidRPr="00134D7C">
        <w:rPr>
          <w:rFonts w:ascii="Times New Roman" w:hAnsi="Times New Roman"/>
          <w:b/>
          <w:bCs/>
          <w:sz w:val="24"/>
          <w:szCs w:val="24"/>
        </w:rPr>
        <w:t xml:space="preserve">Бюджетный </w:t>
      </w:r>
      <w:r w:rsidR="00293541" w:rsidRPr="00134D7C">
        <w:rPr>
          <w:rFonts w:ascii="Times New Roman" w:hAnsi="Times New Roman"/>
          <w:b/>
          <w:bCs/>
          <w:sz w:val="24"/>
          <w:szCs w:val="24"/>
        </w:rPr>
        <w:t>прогноз Муниципального образования «Город Воткинск»</w:t>
      </w:r>
      <w:r w:rsidRPr="00134D7C">
        <w:rPr>
          <w:rFonts w:ascii="Times New Roman" w:hAnsi="Times New Roman"/>
          <w:b/>
          <w:bCs/>
          <w:sz w:val="24"/>
          <w:szCs w:val="24"/>
        </w:rPr>
        <w:br/>
        <w:t>на долгосрочный период</w:t>
      </w:r>
    </w:p>
    <w:p w:rsidR="00134D7C" w:rsidRPr="00134D7C" w:rsidRDefault="00134D7C" w:rsidP="00134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63A" w:rsidRPr="00134D7C" w:rsidRDefault="00E9563A" w:rsidP="00134D7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34D7C">
        <w:rPr>
          <w:rFonts w:ascii="Times New Roman" w:hAnsi="Times New Roman"/>
          <w:sz w:val="24"/>
          <w:szCs w:val="24"/>
        </w:rPr>
        <w:t>Введение</w:t>
      </w:r>
    </w:p>
    <w:p w:rsidR="00E9563A" w:rsidRPr="00134D7C" w:rsidRDefault="00E9563A" w:rsidP="00134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D7C">
        <w:rPr>
          <w:rFonts w:ascii="Times New Roman" w:hAnsi="Times New Roman"/>
          <w:sz w:val="24"/>
          <w:szCs w:val="24"/>
        </w:rPr>
        <w:t xml:space="preserve">Бюджетный прогноз </w:t>
      </w:r>
      <w:r w:rsidR="00293541" w:rsidRPr="00134D7C">
        <w:rPr>
          <w:rFonts w:ascii="Times New Roman" w:hAnsi="Times New Roman"/>
          <w:sz w:val="24"/>
          <w:szCs w:val="24"/>
        </w:rPr>
        <w:t xml:space="preserve">муниципального образования «Город Воткинск» </w:t>
      </w:r>
      <w:r w:rsidRPr="00134D7C">
        <w:rPr>
          <w:rFonts w:ascii="Times New Roman" w:hAnsi="Times New Roman"/>
          <w:sz w:val="24"/>
          <w:szCs w:val="24"/>
        </w:rPr>
        <w:t>на долгосрочный период до 202</w:t>
      </w:r>
      <w:r w:rsidR="00293541" w:rsidRPr="00134D7C">
        <w:rPr>
          <w:rFonts w:ascii="Times New Roman" w:hAnsi="Times New Roman"/>
          <w:sz w:val="24"/>
          <w:szCs w:val="24"/>
        </w:rPr>
        <w:t>5</w:t>
      </w:r>
      <w:r w:rsidRPr="00134D7C">
        <w:rPr>
          <w:rFonts w:ascii="Times New Roman" w:hAnsi="Times New Roman"/>
          <w:sz w:val="24"/>
          <w:szCs w:val="24"/>
        </w:rPr>
        <w:t xml:space="preserve"> года (далее – Бюджетный прогноз) разработан в соответствии с Бюджетным кодексом Российской Федерации, Федеральным</w:t>
      </w:r>
      <w:r w:rsidR="00F524C8" w:rsidRPr="00134D7C">
        <w:rPr>
          <w:rFonts w:ascii="Times New Roman" w:hAnsi="Times New Roman"/>
          <w:sz w:val="24"/>
          <w:szCs w:val="24"/>
        </w:rPr>
        <w:t xml:space="preserve"> </w:t>
      </w:r>
      <w:r w:rsidRPr="00134D7C">
        <w:rPr>
          <w:rFonts w:ascii="Times New Roman" w:hAnsi="Times New Roman"/>
          <w:sz w:val="24"/>
          <w:szCs w:val="24"/>
        </w:rPr>
        <w:t xml:space="preserve">законом от 28 июня 2014 года № 172-ФЗ «О стратегическом планировании в Российской Федерации» (далее – Закон «О стратегическом планировании в Российской Федерации»), </w:t>
      </w:r>
      <w:r w:rsidR="00F524C8" w:rsidRPr="006533CD">
        <w:rPr>
          <w:rFonts w:ascii="Times New Roman" w:hAnsi="Times New Roman"/>
          <w:sz w:val="24"/>
          <w:szCs w:val="24"/>
        </w:rPr>
        <w:t>постановлени</w:t>
      </w:r>
      <w:r w:rsidR="006533CD">
        <w:rPr>
          <w:rFonts w:ascii="Times New Roman" w:hAnsi="Times New Roman"/>
          <w:sz w:val="24"/>
          <w:szCs w:val="24"/>
        </w:rPr>
        <w:t>ем</w:t>
      </w:r>
      <w:r w:rsidR="00F524C8" w:rsidRPr="00134D7C">
        <w:rPr>
          <w:rFonts w:ascii="Times New Roman" w:hAnsi="Times New Roman"/>
          <w:sz w:val="24"/>
          <w:szCs w:val="24"/>
        </w:rPr>
        <w:t xml:space="preserve"> Администрации города Воткинска </w:t>
      </w:r>
      <w:r w:rsidR="00F524C8" w:rsidRPr="006158F5">
        <w:rPr>
          <w:rFonts w:ascii="Times New Roman" w:hAnsi="Times New Roman"/>
          <w:sz w:val="24"/>
          <w:szCs w:val="24"/>
        </w:rPr>
        <w:t>от 23</w:t>
      </w:r>
      <w:r w:rsidR="00674DD7">
        <w:rPr>
          <w:rFonts w:ascii="Times New Roman" w:hAnsi="Times New Roman"/>
          <w:sz w:val="24"/>
          <w:szCs w:val="24"/>
        </w:rPr>
        <w:t>.08.</w:t>
      </w:r>
      <w:r w:rsidR="00F524C8" w:rsidRPr="006158F5">
        <w:rPr>
          <w:rFonts w:ascii="Times New Roman" w:hAnsi="Times New Roman"/>
          <w:sz w:val="24"/>
          <w:szCs w:val="24"/>
        </w:rPr>
        <w:t>2018</w:t>
      </w:r>
      <w:r w:rsidR="00D7655B">
        <w:rPr>
          <w:rFonts w:ascii="Times New Roman" w:hAnsi="Times New Roman"/>
          <w:sz w:val="24"/>
          <w:szCs w:val="24"/>
        </w:rPr>
        <w:t xml:space="preserve"> </w:t>
      </w:r>
      <w:r w:rsidRPr="006158F5">
        <w:rPr>
          <w:rFonts w:ascii="Times New Roman" w:hAnsi="Times New Roman"/>
          <w:sz w:val="24"/>
          <w:szCs w:val="24"/>
        </w:rPr>
        <w:t xml:space="preserve">№ </w:t>
      </w:r>
      <w:r w:rsidR="00F524C8" w:rsidRPr="006158F5">
        <w:rPr>
          <w:rFonts w:ascii="Times New Roman" w:hAnsi="Times New Roman"/>
          <w:sz w:val="24"/>
          <w:szCs w:val="24"/>
        </w:rPr>
        <w:t>1326</w:t>
      </w:r>
      <w:r w:rsidRPr="006158F5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бюджетного прогноза</w:t>
      </w:r>
      <w:proofErr w:type="gramEnd"/>
      <w:r w:rsidRPr="006158F5">
        <w:rPr>
          <w:rFonts w:ascii="Times New Roman" w:hAnsi="Times New Roman"/>
          <w:sz w:val="24"/>
          <w:szCs w:val="24"/>
        </w:rPr>
        <w:t xml:space="preserve"> </w:t>
      </w:r>
      <w:r w:rsidR="00F524C8" w:rsidRPr="006158F5">
        <w:rPr>
          <w:rFonts w:ascii="Times New Roman" w:hAnsi="Times New Roman"/>
          <w:sz w:val="24"/>
          <w:szCs w:val="24"/>
        </w:rPr>
        <w:t xml:space="preserve">муниципального образования «Город Воткинск» </w:t>
      </w:r>
      <w:r w:rsidRPr="006158F5">
        <w:rPr>
          <w:rFonts w:ascii="Times New Roman" w:hAnsi="Times New Roman"/>
          <w:sz w:val="24"/>
          <w:szCs w:val="24"/>
        </w:rPr>
        <w:t xml:space="preserve"> на долгосрочный период».</w:t>
      </w:r>
    </w:p>
    <w:p w:rsidR="00E9563A" w:rsidRDefault="00E9563A" w:rsidP="00E956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Бюджетный прогноз разработан </w:t>
      </w:r>
      <w:r w:rsidR="00140CC8" w:rsidRPr="00134D7C">
        <w:rPr>
          <w:rFonts w:ascii="Times New Roman" w:hAnsi="Times New Roman"/>
          <w:sz w:val="24"/>
          <w:szCs w:val="24"/>
        </w:rPr>
        <w:t>с</w:t>
      </w:r>
      <w:r w:rsidRPr="00134D7C">
        <w:rPr>
          <w:rFonts w:ascii="Times New Roman" w:hAnsi="Times New Roman"/>
          <w:sz w:val="24"/>
          <w:szCs w:val="24"/>
        </w:rPr>
        <w:t xml:space="preserve">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</w:t>
      </w:r>
      <w:r w:rsidR="0083335E" w:rsidRPr="00134D7C">
        <w:rPr>
          <w:rFonts w:ascii="Times New Roman" w:hAnsi="Times New Roman"/>
          <w:sz w:val="24"/>
          <w:szCs w:val="24"/>
        </w:rPr>
        <w:t xml:space="preserve">, </w:t>
      </w:r>
      <w:r w:rsidR="0083335E" w:rsidRPr="00B70161">
        <w:rPr>
          <w:rFonts w:ascii="Times New Roman" w:hAnsi="Times New Roman"/>
          <w:sz w:val="24"/>
          <w:szCs w:val="24"/>
        </w:rPr>
        <w:t xml:space="preserve">прогноза социально-экономического </w:t>
      </w:r>
      <w:r w:rsidR="00DA3682" w:rsidRPr="00B70161">
        <w:rPr>
          <w:rFonts w:ascii="Times New Roman" w:hAnsi="Times New Roman"/>
          <w:sz w:val="24"/>
          <w:szCs w:val="24"/>
        </w:rPr>
        <w:t>развития</w:t>
      </w:r>
      <w:r w:rsidR="00B70161" w:rsidRPr="00B70161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 w:rsidRPr="00B70161">
        <w:rPr>
          <w:rFonts w:ascii="Times New Roman" w:hAnsi="Times New Roman"/>
          <w:sz w:val="24"/>
          <w:szCs w:val="24"/>
        </w:rPr>
        <w:t>.</w:t>
      </w:r>
    </w:p>
    <w:p w:rsidR="00604F7C" w:rsidRPr="004056A4" w:rsidRDefault="00604F7C" w:rsidP="00E95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A4">
        <w:rPr>
          <w:rFonts w:ascii="Times New Roman" w:hAnsi="Times New Roman" w:cs="Times New Roman"/>
          <w:sz w:val="24"/>
          <w:szCs w:val="24"/>
        </w:rPr>
        <w:t>Долгосрочное бюджетное планирование является необходимым условием для проведения ответственной налогово-бюджетной и долговой политики, межбюджетного регулирования, повышения эффективности управления  муниципальными финанс</w:t>
      </w:r>
      <w:r w:rsidR="00C87106" w:rsidRPr="004056A4">
        <w:rPr>
          <w:rFonts w:ascii="Times New Roman" w:hAnsi="Times New Roman" w:cs="Times New Roman"/>
          <w:sz w:val="24"/>
          <w:szCs w:val="24"/>
        </w:rPr>
        <w:t>ам</w:t>
      </w:r>
      <w:r w:rsidRPr="004056A4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EE5D29">
        <w:rPr>
          <w:rFonts w:ascii="Times New Roman" w:hAnsi="Times New Roman" w:cs="Times New Roman"/>
          <w:sz w:val="24"/>
          <w:szCs w:val="24"/>
        </w:rPr>
        <w:t xml:space="preserve"> </w:t>
      </w:r>
      <w:r w:rsidRPr="004056A4">
        <w:rPr>
          <w:rFonts w:ascii="Times New Roman" w:hAnsi="Times New Roman" w:cs="Times New Roman"/>
          <w:sz w:val="24"/>
          <w:szCs w:val="24"/>
        </w:rPr>
        <w:t>программно-целево</w:t>
      </w:r>
      <w:r w:rsidR="00EE5D29">
        <w:rPr>
          <w:rFonts w:ascii="Times New Roman" w:hAnsi="Times New Roman" w:cs="Times New Roman"/>
          <w:sz w:val="24"/>
          <w:szCs w:val="24"/>
        </w:rPr>
        <w:t>го</w:t>
      </w:r>
      <w:r w:rsidRPr="004056A4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EE5D29">
        <w:rPr>
          <w:rFonts w:ascii="Times New Roman" w:hAnsi="Times New Roman" w:cs="Times New Roman"/>
          <w:sz w:val="24"/>
          <w:szCs w:val="24"/>
        </w:rPr>
        <w:t>а</w:t>
      </w:r>
      <w:r w:rsidR="00F63AB9">
        <w:rPr>
          <w:rFonts w:ascii="Times New Roman" w:hAnsi="Times New Roman" w:cs="Times New Roman"/>
          <w:sz w:val="24"/>
          <w:szCs w:val="24"/>
        </w:rPr>
        <w:t xml:space="preserve"> </w:t>
      </w:r>
      <w:r w:rsidRPr="004056A4">
        <w:rPr>
          <w:rFonts w:ascii="Times New Roman" w:hAnsi="Times New Roman" w:cs="Times New Roman"/>
          <w:sz w:val="24"/>
          <w:szCs w:val="24"/>
        </w:rPr>
        <w:t xml:space="preserve"> фо</w:t>
      </w:r>
      <w:r w:rsidR="00A01E37" w:rsidRPr="004056A4">
        <w:rPr>
          <w:rFonts w:ascii="Times New Roman" w:hAnsi="Times New Roman" w:cs="Times New Roman"/>
          <w:sz w:val="24"/>
          <w:szCs w:val="24"/>
        </w:rPr>
        <w:t>рмирования и исполнения бюджета</w:t>
      </w:r>
      <w:r w:rsidRPr="004056A4">
        <w:rPr>
          <w:rFonts w:ascii="Times New Roman" w:hAnsi="Times New Roman" w:cs="Times New Roman"/>
          <w:sz w:val="24"/>
          <w:szCs w:val="24"/>
        </w:rPr>
        <w:t>.</w:t>
      </w:r>
    </w:p>
    <w:p w:rsidR="00604F7C" w:rsidRPr="004056A4" w:rsidRDefault="00604F7C" w:rsidP="00604F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A4">
        <w:rPr>
          <w:rFonts w:ascii="Times New Roman" w:hAnsi="Times New Roman" w:cs="Times New Roman"/>
          <w:sz w:val="24"/>
          <w:szCs w:val="24"/>
        </w:rPr>
        <w:t>Наличие долгосрочных (то есть, на срок не менее 6 лет) прогнозов и оценок ключевых показателей бюджета создает условия для принятия обоснованных решений при формировании проекта бюджета на очередной финансовый год (и на плановый период), позволяет учитывать их последствия с точки зрения влияния на сбалансированность бюджета будущих периодов, заблаговременно оценивать и предотвращать бюджетные риски.</w:t>
      </w:r>
    </w:p>
    <w:p w:rsidR="00604F7C" w:rsidRPr="004056A4" w:rsidRDefault="00604F7C" w:rsidP="00604F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A4">
        <w:rPr>
          <w:rFonts w:ascii="Times New Roman" w:hAnsi="Times New Roman" w:cs="Times New Roman"/>
          <w:sz w:val="24"/>
          <w:szCs w:val="24"/>
        </w:rPr>
        <w:t>Эффективность использования долгосрочного бюджетного планирования в муниципальном образовании</w:t>
      </w:r>
      <w:r w:rsidR="00D751BE" w:rsidRPr="004056A4">
        <w:rPr>
          <w:rFonts w:ascii="Times New Roman" w:hAnsi="Times New Roman" w:cs="Times New Roman"/>
          <w:sz w:val="24"/>
          <w:szCs w:val="24"/>
        </w:rPr>
        <w:t xml:space="preserve"> «Город Воткинск»  во многом определяет</w:t>
      </w:r>
      <w:r w:rsidRPr="004056A4">
        <w:rPr>
          <w:rFonts w:ascii="Times New Roman" w:hAnsi="Times New Roman" w:cs="Times New Roman"/>
          <w:sz w:val="24"/>
          <w:szCs w:val="24"/>
        </w:rPr>
        <w:t>ся качеством применяемого в этих целях нормативно-правового регулирования, содержанием долгосрочных бюджетных прогнозов, их обоснованностью, полнотой оценки бюджетных риск</w:t>
      </w:r>
      <w:r w:rsidR="00D751BE" w:rsidRPr="004056A4">
        <w:rPr>
          <w:rFonts w:ascii="Times New Roman" w:hAnsi="Times New Roman" w:cs="Times New Roman"/>
          <w:sz w:val="24"/>
          <w:szCs w:val="24"/>
        </w:rPr>
        <w:t>ов и угроз устойчивости бюджета</w:t>
      </w:r>
      <w:r w:rsidRPr="004056A4">
        <w:rPr>
          <w:rFonts w:ascii="Times New Roman" w:hAnsi="Times New Roman" w:cs="Times New Roman"/>
          <w:sz w:val="24"/>
          <w:szCs w:val="24"/>
        </w:rPr>
        <w:t>, наличием предсказуемых, формализованных и прозрачных механизмов корректировки налогово-бюджетной и долговой политик</w:t>
      </w:r>
      <w:r w:rsidR="00D751BE" w:rsidRPr="004056A4">
        <w:rPr>
          <w:rFonts w:ascii="Times New Roman" w:hAnsi="Times New Roman" w:cs="Times New Roman"/>
          <w:sz w:val="24"/>
          <w:szCs w:val="24"/>
        </w:rPr>
        <w:t>и</w:t>
      </w:r>
      <w:r w:rsidRPr="004056A4">
        <w:rPr>
          <w:rFonts w:ascii="Times New Roman" w:hAnsi="Times New Roman" w:cs="Times New Roman"/>
          <w:sz w:val="24"/>
          <w:szCs w:val="24"/>
        </w:rPr>
        <w:t xml:space="preserve"> в случае изменения социально-экономической и финансовой ситуации</w:t>
      </w:r>
      <w:r w:rsidR="00D751BE" w:rsidRPr="004056A4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F45A1C">
        <w:rPr>
          <w:rFonts w:ascii="Times New Roman" w:hAnsi="Times New Roman" w:cs="Times New Roman"/>
          <w:sz w:val="24"/>
          <w:szCs w:val="24"/>
        </w:rPr>
        <w:t>.</w:t>
      </w:r>
      <w:r w:rsidRPr="0040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2722" w:rsidRPr="004056A4" w:rsidRDefault="00EB2722" w:rsidP="00EB2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A4">
        <w:rPr>
          <w:rFonts w:ascii="Times New Roman" w:hAnsi="Times New Roman" w:cs="Times New Roman"/>
          <w:sz w:val="24"/>
          <w:szCs w:val="24"/>
        </w:rPr>
        <w:t xml:space="preserve">Базовой целью долгосрочного бюджетного планирования является обеспечение предсказуемости развития бюджета муниципальном образовании «Город Воткинск», </w:t>
      </w:r>
      <w:r w:rsidR="00E577C3" w:rsidRPr="004056A4">
        <w:rPr>
          <w:rFonts w:ascii="Times New Roman" w:hAnsi="Times New Roman" w:cs="Times New Roman"/>
          <w:sz w:val="24"/>
          <w:szCs w:val="24"/>
        </w:rPr>
        <w:t xml:space="preserve"> позволяющее</w:t>
      </w:r>
      <w:r w:rsidRPr="004056A4">
        <w:rPr>
          <w:rFonts w:ascii="Times New Roman" w:hAnsi="Times New Roman" w:cs="Times New Roman"/>
          <w:sz w:val="24"/>
          <w:szCs w:val="24"/>
        </w:rPr>
        <w:t xml:space="preserve"> оценивать долгосрочные тенденции изменений объема и структуры доходов и расходов бюджета, структуры и условий привлечения и обслуживания заимствований,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развития, решении иных стратегических</w:t>
      </w:r>
      <w:proofErr w:type="gramEnd"/>
      <w:r w:rsidRPr="004056A4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43234" w:rsidRPr="004056A4" w:rsidRDefault="00B43234" w:rsidP="00B432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6A4">
        <w:rPr>
          <w:rFonts w:ascii="Times New Roman" w:hAnsi="Times New Roman" w:cs="Times New Roman"/>
          <w:i/>
          <w:sz w:val="24"/>
          <w:szCs w:val="24"/>
        </w:rPr>
        <w:t xml:space="preserve">Полноценному внедрению долгосрочного бюджетного планирования </w:t>
      </w:r>
      <w:r w:rsidR="00F0232C" w:rsidRPr="004056A4">
        <w:rPr>
          <w:rFonts w:ascii="Times New Roman" w:hAnsi="Times New Roman" w:cs="Times New Roman"/>
          <w:i/>
          <w:sz w:val="24"/>
          <w:szCs w:val="24"/>
        </w:rPr>
        <w:t>предшествует</w:t>
      </w:r>
      <w:r w:rsidRPr="004056A4">
        <w:rPr>
          <w:rFonts w:ascii="Times New Roman" w:hAnsi="Times New Roman" w:cs="Times New Roman"/>
          <w:i/>
          <w:sz w:val="24"/>
          <w:szCs w:val="24"/>
        </w:rPr>
        <w:t xml:space="preserve"> работа по созданию системы прогнозирования социально-экономического развития</w:t>
      </w:r>
      <w:r w:rsidR="00F0232C" w:rsidRPr="004056A4">
        <w:rPr>
          <w:rFonts w:ascii="Times New Roman" w:hAnsi="Times New Roman" w:cs="Times New Roman"/>
          <w:i/>
          <w:sz w:val="24"/>
          <w:szCs w:val="24"/>
        </w:rPr>
        <w:t xml:space="preserve"> города</w:t>
      </w:r>
      <w:r w:rsidRPr="004056A4">
        <w:rPr>
          <w:rFonts w:ascii="Times New Roman" w:hAnsi="Times New Roman" w:cs="Times New Roman"/>
          <w:i/>
          <w:sz w:val="28"/>
          <w:szCs w:val="28"/>
        </w:rPr>
        <w:t>.</w:t>
      </w:r>
    </w:p>
    <w:p w:rsidR="001E17AD" w:rsidRDefault="001E17AD" w:rsidP="001E17AD">
      <w:pPr>
        <w:spacing w:line="3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51D9">
        <w:rPr>
          <w:rFonts w:ascii="Times New Roman" w:hAnsi="Times New Roman" w:cs="Times New Roman"/>
          <w:sz w:val="24"/>
          <w:szCs w:val="24"/>
        </w:rPr>
        <w:lastRenderedPageBreak/>
        <w:t>Общая оценка социально-экономической ситуации  города Воткинска</w:t>
      </w:r>
    </w:p>
    <w:p w:rsidR="001E17AD" w:rsidRDefault="001E17AD" w:rsidP="00AA02CB">
      <w:pPr>
        <w:pStyle w:val="a4"/>
        <w:suppressAutoHyphens/>
        <w:spacing w:line="300" w:lineRule="exact"/>
        <w:ind w:firstLine="708"/>
        <w:jc w:val="both"/>
        <w:rPr>
          <w:sz w:val="24"/>
          <w:szCs w:val="24"/>
          <w:lang w:eastAsia="ar-SA"/>
        </w:rPr>
      </w:pPr>
      <w:r w:rsidRPr="00E03101">
        <w:rPr>
          <w:sz w:val="24"/>
          <w:szCs w:val="24"/>
          <w:lang w:eastAsia="ar-SA"/>
        </w:rPr>
        <w:t xml:space="preserve">Структура экономики </w:t>
      </w:r>
      <w:r>
        <w:rPr>
          <w:sz w:val="24"/>
          <w:szCs w:val="24"/>
          <w:lang w:eastAsia="ar-SA"/>
        </w:rPr>
        <w:t xml:space="preserve">города Воткинска </w:t>
      </w:r>
      <w:r w:rsidRPr="00E03101">
        <w:rPr>
          <w:sz w:val="24"/>
          <w:szCs w:val="24"/>
          <w:lang w:eastAsia="ar-SA"/>
        </w:rPr>
        <w:t xml:space="preserve">исторически сложилась </w:t>
      </w:r>
      <w:r>
        <w:rPr>
          <w:sz w:val="24"/>
          <w:szCs w:val="24"/>
          <w:lang w:eastAsia="ar-SA"/>
        </w:rPr>
        <w:t xml:space="preserve">как </w:t>
      </w:r>
      <w:proofErr w:type="spellStart"/>
      <w:r w:rsidRPr="00E03101">
        <w:rPr>
          <w:sz w:val="24"/>
          <w:szCs w:val="24"/>
          <w:lang w:eastAsia="ar-SA"/>
        </w:rPr>
        <w:t>монопрофильн</w:t>
      </w:r>
      <w:r>
        <w:rPr>
          <w:sz w:val="24"/>
          <w:szCs w:val="24"/>
          <w:lang w:eastAsia="ar-SA"/>
        </w:rPr>
        <w:t>ая</w:t>
      </w:r>
      <w:proofErr w:type="spellEnd"/>
      <w:r w:rsidRPr="00E03101">
        <w:rPr>
          <w:sz w:val="24"/>
          <w:szCs w:val="24"/>
          <w:lang w:eastAsia="ar-SA"/>
        </w:rPr>
        <w:t xml:space="preserve"> и узкоспециализированн</w:t>
      </w:r>
      <w:r>
        <w:rPr>
          <w:sz w:val="24"/>
          <w:szCs w:val="24"/>
          <w:lang w:eastAsia="ar-SA"/>
        </w:rPr>
        <w:t>ая</w:t>
      </w:r>
      <w:r w:rsidRPr="00E03101">
        <w:rPr>
          <w:sz w:val="24"/>
          <w:szCs w:val="24"/>
          <w:lang w:eastAsia="ar-SA"/>
        </w:rPr>
        <w:t>.</w:t>
      </w:r>
    </w:p>
    <w:p w:rsidR="001E17AD" w:rsidRDefault="001E17AD" w:rsidP="00AA02CB">
      <w:pPr>
        <w:pStyle w:val="a4"/>
        <w:suppressAutoHyphens/>
        <w:spacing w:line="300" w:lineRule="exact"/>
        <w:ind w:firstLine="708"/>
        <w:jc w:val="both"/>
        <w:rPr>
          <w:sz w:val="24"/>
          <w:szCs w:val="24"/>
        </w:rPr>
      </w:pPr>
      <w:r w:rsidRPr="00D32CBD">
        <w:rPr>
          <w:sz w:val="24"/>
          <w:szCs w:val="24"/>
        </w:rPr>
        <w:t>Основ</w:t>
      </w:r>
      <w:r>
        <w:rPr>
          <w:sz w:val="24"/>
          <w:szCs w:val="24"/>
        </w:rPr>
        <w:t>ой</w:t>
      </w:r>
      <w:r w:rsidRPr="00D32CBD">
        <w:rPr>
          <w:sz w:val="24"/>
          <w:szCs w:val="24"/>
        </w:rPr>
        <w:t xml:space="preserve"> </w:t>
      </w:r>
      <w:r w:rsidRPr="00E03101">
        <w:rPr>
          <w:sz w:val="24"/>
          <w:szCs w:val="24"/>
          <w:lang w:eastAsia="ar-SA"/>
        </w:rPr>
        <w:t xml:space="preserve">экономического развития является промышленность, которая специализируется на </w:t>
      </w:r>
      <w:r>
        <w:rPr>
          <w:sz w:val="24"/>
          <w:szCs w:val="24"/>
          <w:lang w:eastAsia="ar-SA"/>
        </w:rPr>
        <w:t xml:space="preserve">машиностроении. </w:t>
      </w:r>
      <w:r w:rsidRPr="00E751CC">
        <w:rPr>
          <w:sz w:val="24"/>
          <w:szCs w:val="24"/>
        </w:rPr>
        <w:t>На предприятиях города Воткинска производят специальную технику, оборудование для нефтяной и газовой промышленности, электротехническое оборудование, оборудование для атомной промышленности, потребит</w:t>
      </w:r>
      <w:r>
        <w:rPr>
          <w:sz w:val="24"/>
          <w:szCs w:val="24"/>
        </w:rPr>
        <w:t>ельские товары и многое другое.</w:t>
      </w:r>
    </w:p>
    <w:p w:rsidR="001E17AD" w:rsidRDefault="001E17AD" w:rsidP="00AA02CB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7A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E17A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E17AD">
        <w:rPr>
          <w:rFonts w:ascii="Times New Roman" w:hAnsi="Times New Roman" w:cs="Times New Roman"/>
          <w:sz w:val="24"/>
          <w:szCs w:val="24"/>
        </w:rPr>
        <w:t xml:space="preserve"> завод» является основным градообразующим предприятием, и от его финансовой деятельности в первую очередь зависит экономика города. Доля продукции  градообразующего предприятия составляет более </w:t>
      </w:r>
      <w:r w:rsidR="0096174A">
        <w:rPr>
          <w:rFonts w:ascii="Times New Roman" w:hAnsi="Times New Roman" w:cs="Times New Roman"/>
          <w:sz w:val="24"/>
          <w:szCs w:val="24"/>
        </w:rPr>
        <w:t>69,2</w:t>
      </w:r>
      <w:r w:rsidRPr="001E17AD">
        <w:rPr>
          <w:rFonts w:ascii="Times New Roman" w:hAnsi="Times New Roman" w:cs="Times New Roman"/>
          <w:sz w:val="24"/>
          <w:szCs w:val="24"/>
        </w:rPr>
        <w:t xml:space="preserve"> процентов всего  промышленного производства города, на предприятии работает 2</w:t>
      </w:r>
      <w:r w:rsidR="0096174A">
        <w:rPr>
          <w:rFonts w:ascii="Times New Roman" w:hAnsi="Times New Roman" w:cs="Times New Roman"/>
          <w:sz w:val="24"/>
          <w:szCs w:val="24"/>
        </w:rPr>
        <w:t xml:space="preserve">8 </w:t>
      </w:r>
      <w:r w:rsidRPr="001E17AD">
        <w:rPr>
          <w:rFonts w:ascii="Times New Roman" w:hAnsi="Times New Roman" w:cs="Times New Roman"/>
          <w:sz w:val="24"/>
          <w:szCs w:val="24"/>
        </w:rPr>
        <w:t xml:space="preserve">% экономически активного населения города, завод обеспечивает более </w:t>
      </w:r>
      <w:r w:rsidR="0096174A">
        <w:rPr>
          <w:rFonts w:ascii="Times New Roman" w:hAnsi="Times New Roman" w:cs="Times New Roman"/>
          <w:sz w:val="24"/>
          <w:szCs w:val="24"/>
        </w:rPr>
        <w:t xml:space="preserve">40 </w:t>
      </w:r>
      <w:r w:rsidRPr="001E17AD">
        <w:rPr>
          <w:rFonts w:ascii="Times New Roman" w:hAnsi="Times New Roman" w:cs="Times New Roman"/>
          <w:sz w:val="24"/>
          <w:szCs w:val="24"/>
        </w:rPr>
        <w:t xml:space="preserve">% суммы  собственных доходов городского бюджета. </w:t>
      </w:r>
    </w:p>
    <w:p w:rsidR="001E17AD" w:rsidRPr="001E17AD" w:rsidRDefault="001E17AD" w:rsidP="00AA02CB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17AD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город Воткинск полностью соответствует критериям отнесения населенных пунктов к моногородам, а экономика города имеет ярко выраженную зависимость от деятельности градообразующего предприятия. </w:t>
      </w:r>
      <w:r w:rsidRPr="001E17AD">
        <w:rPr>
          <w:rFonts w:ascii="Times New Roman" w:hAnsi="Times New Roman" w:cs="Times New Roman"/>
          <w:sz w:val="24"/>
          <w:szCs w:val="24"/>
        </w:rPr>
        <w:t>Такая зависимость создает реальную угрозу существенного снижения доходов городского бюджета, роста уровня безработицы и социальной напряженности в городе при снижении государственного заказа.</w:t>
      </w:r>
    </w:p>
    <w:p w:rsidR="001E17AD" w:rsidRDefault="001E17AD" w:rsidP="00AA02CB">
      <w:pPr>
        <w:pStyle w:val="a4"/>
        <w:suppressAutoHyphens/>
        <w:spacing w:line="300" w:lineRule="exact"/>
        <w:ind w:firstLine="709"/>
        <w:jc w:val="both"/>
        <w:rPr>
          <w:sz w:val="24"/>
          <w:szCs w:val="24"/>
        </w:rPr>
      </w:pPr>
      <w:proofErr w:type="gramStart"/>
      <w:r w:rsidRPr="00E751CC">
        <w:rPr>
          <w:sz w:val="24"/>
          <w:szCs w:val="24"/>
        </w:rPr>
        <w:t>Помимо градообразующего предприятия АО «</w:t>
      </w:r>
      <w:proofErr w:type="spellStart"/>
      <w:r w:rsidRPr="00E751CC">
        <w:rPr>
          <w:sz w:val="24"/>
          <w:szCs w:val="24"/>
        </w:rPr>
        <w:t>Воткинский</w:t>
      </w:r>
      <w:proofErr w:type="spellEnd"/>
      <w:r w:rsidRPr="00E751CC">
        <w:rPr>
          <w:sz w:val="24"/>
          <w:szCs w:val="24"/>
        </w:rPr>
        <w:t xml:space="preserve"> завод» </w:t>
      </w:r>
      <w:r>
        <w:rPr>
          <w:sz w:val="24"/>
          <w:szCs w:val="24"/>
        </w:rPr>
        <w:t>в городе работают</w:t>
      </w:r>
      <w:r w:rsidRPr="00E751CC">
        <w:rPr>
          <w:sz w:val="24"/>
          <w:szCs w:val="24"/>
        </w:rPr>
        <w:t xml:space="preserve"> </w:t>
      </w:r>
      <w:r>
        <w:rPr>
          <w:sz w:val="24"/>
          <w:szCs w:val="24"/>
        </w:rPr>
        <w:t>такие крупные</w:t>
      </w:r>
      <w:r w:rsidRPr="00E751CC">
        <w:rPr>
          <w:sz w:val="24"/>
          <w:szCs w:val="24"/>
        </w:rPr>
        <w:t xml:space="preserve"> промышленны</w:t>
      </w:r>
      <w:r>
        <w:rPr>
          <w:sz w:val="24"/>
          <w:szCs w:val="24"/>
        </w:rPr>
        <w:t>е</w:t>
      </w:r>
      <w:r w:rsidRPr="00E751CC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 w:rsidR="000457A5">
        <w:rPr>
          <w:sz w:val="24"/>
          <w:szCs w:val="24"/>
        </w:rPr>
        <w:t>,</w:t>
      </w:r>
      <w:r>
        <w:rPr>
          <w:sz w:val="24"/>
          <w:szCs w:val="24"/>
        </w:rPr>
        <w:t xml:space="preserve"> как </w:t>
      </w:r>
      <w:r w:rsidRPr="00E751CC">
        <w:rPr>
          <w:sz w:val="24"/>
          <w:szCs w:val="24"/>
        </w:rPr>
        <w:t>ООО «Завод нефтегазового оборудования «</w:t>
      </w:r>
      <w:proofErr w:type="spellStart"/>
      <w:r w:rsidRPr="00E751CC">
        <w:rPr>
          <w:sz w:val="24"/>
          <w:szCs w:val="24"/>
        </w:rPr>
        <w:t>Техновек</w:t>
      </w:r>
      <w:proofErr w:type="spellEnd"/>
      <w:r w:rsidRPr="00E751CC">
        <w:rPr>
          <w:sz w:val="24"/>
          <w:szCs w:val="24"/>
        </w:rPr>
        <w:t>», ООО «Электротехнический завод «Вектор», ОАО «</w:t>
      </w:r>
      <w:proofErr w:type="spellStart"/>
      <w:r w:rsidRPr="00E751CC">
        <w:rPr>
          <w:sz w:val="24"/>
          <w:szCs w:val="24"/>
        </w:rPr>
        <w:t>Воткинская</w:t>
      </w:r>
      <w:proofErr w:type="spellEnd"/>
      <w:r w:rsidRPr="00E751CC">
        <w:rPr>
          <w:sz w:val="24"/>
          <w:szCs w:val="24"/>
        </w:rPr>
        <w:t xml:space="preserve"> Промышленная Компания», </w:t>
      </w:r>
      <w:r>
        <w:rPr>
          <w:sz w:val="24"/>
          <w:szCs w:val="24"/>
        </w:rPr>
        <w:t>ОАО «Торговый дом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завод», </w:t>
      </w:r>
      <w:r w:rsidRPr="00E751CC">
        <w:rPr>
          <w:sz w:val="24"/>
          <w:szCs w:val="24"/>
        </w:rPr>
        <w:t>ООО «Завод РТО»,</w:t>
      </w:r>
      <w:r>
        <w:rPr>
          <w:sz w:val="24"/>
          <w:szCs w:val="24"/>
        </w:rPr>
        <w:t xml:space="preserve"> </w:t>
      </w:r>
      <w:r w:rsidRPr="00E751CC">
        <w:rPr>
          <w:sz w:val="24"/>
          <w:szCs w:val="24"/>
        </w:rPr>
        <w:t>ЗАО «Базальтовое волокно»,</w:t>
      </w:r>
      <w:r>
        <w:rPr>
          <w:sz w:val="24"/>
          <w:szCs w:val="24"/>
        </w:rPr>
        <w:t xml:space="preserve"> предприятия пищевой промышленности - </w:t>
      </w:r>
      <w:r w:rsidRPr="00E751CC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Pr="00E751CC">
        <w:rPr>
          <w:sz w:val="24"/>
          <w:szCs w:val="24"/>
        </w:rPr>
        <w:t>О «</w:t>
      </w:r>
      <w:proofErr w:type="spellStart"/>
      <w:r w:rsidRPr="00E751CC">
        <w:rPr>
          <w:sz w:val="24"/>
          <w:szCs w:val="24"/>
        </w:rPr>
        <w:t>Воткинский</w:t>
      </w:r>
      <w:proofErr w:type="spellEnd"/>
      <w:r w:rsidRPr="00E751CC">
        <w:rPr>
          <w:sz w:val="24"/>
          <w:szCs w:val="24"/>
        </w:rPr>
        <w:t xml:space="preserve"> </w:t>
      </w:r>
      <w:proofErr w:type="spellStart"/>
      <w:r w:rsidRPr="00E751CC">
        <w:rPr>
          <w:sz w:val="24"/>
          <w:szCs w:val="24"/>
        </w:rPr>
        <w:t>хлебокомбинат</w:t>
      </w:r>
      <w:proofErr w:type="spellEnd"/>
      <w:r w:rsidRPr="00E751CC">
        <w:rPr>
          <w:sz w:val="24"/>
          <w:szCs w:val="24"/>
        </w:rPr>
        <w:t>», ОАО «Пищекомбинат «</w:t>
      </w:r>
      <w:proofErr w:type="spellStart"/>
      <w:r w:rsidRPr="00E751CC">
        <w:rPr>
          <w:sz w:val="24"/>
          <w:szCs w:val="24"/>
        </w:rPr>
        <w:t>Воткинский</w:t>
      </w:r>
      <w:proofErr w:type="spellEnd"/>
      <w:r w:rsidRPr="00E751CC">
        <w:rPr>
          <w:sz w:val="24"/>
          <w:szCs w:val="24"/>
        </w:rPr>
        <w:t>», ОАО «</w:t>
      </w:r>
      <w:proofErr w:type="spellStart"/>
      <w:r w:rsidRPr="00E751CC">
        <w:rPr>
          <w:sz w:val="24"/>
          <w:szCs w:val="24"/>
        </w:rPr>
        <w:t>Воткинскмолоко</w:t>
      </w:r>
      <w:proofErr w:type="spellEnd"/>
      <w:r w:rsidRPr="00E751CC">
        <w:rPr>
          <w:sz w:val="24"/>
          <w:szCs w:val="24"/>
        </w:rPr>
        <w:t>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мясокомбинат» и другие.</w:t>
      </w:r>
      <w:proofErr w:type="gramEnd"/>
    </w:p>
    <w:p w:rsidR="001E17AD" w:rsidRDefault="001E17AD" w:rsidP="00AA02CB">
      <w:pPr>
        <w:pStyle w:val="a4"/>
        <w:suppressAutoHyphens/>
        <w:spacing w:line="300" w:lineRule="exact"/>
        <w:ind w:firstLine="709"/>
        <w:jc w:val="both"/>
        <w:rPr>
          <w:sz w:val="24"/>
          <w:szCs w:val="24"/>
        </w:rPr>
      </w:pPr>
      <w:r w:rsidRPr="00E751CC">
        <w:rPr>
          <w:sz w:val="24"/>
          <w:szCs w:val="24"/>
        </w:rPr>
        <w:t xml:space="preserve">Важным фактором </w:t>
      </w:r>
      <w:r w:rsidRPr="008935B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E751CC">
        <w:rPr>
          <w:sz w:val="24"/>
          <w:szCs w:val="24"/>
        </w:rPr>
        <w:t>экономики города Воткинска является мало</w:t>
      </w:r>
      <w:r>
        <w:rPr>
          <w:sz w:val="24"/>
          <w:szCs w:val="24"/>
        </w:rPr>
        <w:t>е</w:t>
      </w:r>
      <w:r w:rsidRPr="00E751CC">
        <w:rPr>
          <w:sz w:val="24"/>
          <w:szCs w:val="24"/>
        </w:rPr>
        <w:t xml:space="preserve"> и средне</w:t>
      </w:r>
      <w:r>
        <w:rPr>
          <w:sz w:val="24"/>
          <w:szCs w:val="24"/>
        </w:rPr>
        <w:t>е</w:t>
      </w:r>
      <w:r w:rsidRPr="00E751CC">
        <w:rPr>
          <w:sz w:val="24"/>
          <w:szCs w:val="24"/>
        </w:rPr>
        <w:t xml:space="preserve"> предпринимательств</w:t>
      </w:r>
      <w:r>
        <w:rPr>
          <w:sz w:val="24"/>
          <w:szCs w:val="24"/>
        </w:rPr>
        <w:t>о</w:t>
      </w:r>
      <w:r w:rsidRPr="00E751CC">
        <w:rPr>
          <w:sz w:val="24"/>
          <w:szCs w:val="24"/>
        </w:rPr>
        <w:t>. Малый бизнес не только способствует смягчению социальных проблем, насыщению рынка товарами, но и обеспечивает экономическую самостоятельность значительной части населения.</w:t>
      </w:r>
    </w:p>
    <w:p w:rsidR="00C9742C" w:rsidRDefault="00C9742C" w:rsidP="00AA02CB">
      <w:pPr>
        <w:spacing w:after="0" w:line="300" w:lineRule="exact"/>
        <w:ind w:firstLine="720"/>
        <w:jc w:val="both"/>
        <w:rPr>
          <w:b/>
          <w:sz w:val="24"/>
          <w:szCs w:val="24"/>
        </w:rPr>
      </w:pP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t>Прогноз социально-экономического  развития  муниципального образования «Город Воткинск» на 2019-2021 годы (далее Прогноз) разработан в соответствии со статьей  173 Бюджетного кодекса Российской Федерации, Законом Удмуртской Республики от 18 декабря 2014 года № 81-РЗ «О стратегическом планировании в  Удмуртской Республике».</w:t>
      </w: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t>Прогноз основывается на итогах социально-экономического развития  города Воткинска за 2017 год  и  ожидаемых результатах   в 2018 году,  сценарных условиях социально-экономического развития  Российской Федерации  в 2018 году и параметрах прогноза  до 2021 года;  прогнозных материалах  крупных промышленных предприятий города Воткинска.</w:t>
      </w: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t xml:space="preserve">Прогноз содержит  итоги социально-экономического развития города Воткинска за -2017 год,  оценку  за 2018 год  и  прогнозные показатели на предстоящий  трехлетний период. </w:t>
      </w: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t>Прогноз разработан в двух вариантах – базовом и целевом.</w:t>
      </w: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lastRenderedPageBreak/>
        <w:t>Базовый вариант (1) характеризует развитие экономики в условиях сохранения консервативных тенденций внешних факторов  при сохранении консервативной бюджетной политики.</w:t>
      </w:r>
    </w:p>
    <w:p w:rsidR="00EA3F73" w:rsidRPr="00AD5CA9" w:rsidRDefault="00EA3F73" w:rsidP="00EA3F73">
      <w:pPr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CA9">
        <w:rPr>
          <w:rFonts w:ascii="Times New Roman" w:hAnsi="Times New Roman" w:cs="Times New Roman"/>
          <w:sz w:val="24"/>
          <w:szCs w:val="24"/>
        </w:rPr>
        <w:t>Целевой вариант (2) ориентирован на достижение целевых показателей социально-экономического развития и решение задач, поставленных в  Стратегии социально-экономического развития города Воткинска на 2015-2020 годы и период до 2025 года.</w:t>
      </w:r>
    </w:p>
    <w:p w:rsidR="00EA3F73" w:rsidRDefault="00EA3F73" w:rsidP="00AA02CB">
      <w:pPr>
        <w:spacing w:after="0" w:line="300" w:lineRule="exact"/>
        <w:ind w:firstLine="720"/>
        <w:jc w:val="both"/>
        <w:rPr>
          <w:b/>
          <w:sz w:val="24"/>
          <w:szCs w:val="24"/>
        </w:rPr>
      </w:pPr>
    </w:p>
    <w:p w:rsidR="001E17AD" w:rsidRPr="00C9742C" w:rsidRDefault="001E17AD" w:rsidP="00AA02CB">
      <w:pPr>
        <w:spacing w:after="0" w:line="30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2C">
        <w:rPr>
          <w:rFonts w:ascii="Times New Roman" w:hAnsi="Times New Roman" w:cs="Times New Roman"/>
          <w:b/>
          <w:sz w:val="24"/>
          <w:szCs w:val="24"/>
        </w:rPr>
        <w:t>Промышленность.</w:t>
      </w:r>
    </w:p>
    <w:p w:rsidR="001E17AD" w:rsidRDefault="001E17AD" w:rsidP="00AA02CB">
      <w:pPr>
        <w:pStyle w:val="a6"/>
        <w:spacing w:line="300" w:lineRule="exact"/>
        <w:ind w:firstLine="283"/>
        <w:rPr>
          <w:sz w:val="24"/>
          <w:szCs w:val="24"/>
        </w:rPr>
      </w:pPr>
      <w:r w:rsidRPr="00B55A81">
        <w:rPr>
          <w:sz w:val="24"/>
          <w:szCs w:val="24"/>
        </w:rPr>
        <w:t xml:space="preserve">       В 20</w:t>
      </w:r>
      <w:r>
        <w:rPr>
          <w:sz w:val="24"/>
          <w:szCs w:val="24"/>
        </w:rPr>
        <w:t>17 год</w:t>
      </w:r>
      <w:r w:rsidRPr="00B55A81">
        <w:rPr>
          <w:sz w:val="24"/>
          <w:szCs w:val="24"/>
        </w:rPr>
        <w:t>у</w:t>
      </w:r>
      <w:r>
        <w:rPr>
          <w:sz w:val="24"/>
          <w:szCs w:val="24"/>
        </w:rPr>
        <w:t xml:space="preserve">  </w:t>
      </w:r>
      <w:r w:rsidRPr="00B55A81">
        <w:rPr>
          <w:sz w:val="24"/>
          <w:szCs w:val="24"/>
        </w:rPr>
        <w:t>объем отгруженных  товаров, выполненных работ, оказанных услуг</w:t>
      </w:r>
      <w:r w:rsidRPr="00B55A81">
        <w:rPr>
          <w:b/>
          <w:sz w:val="24"/>
          <w:szCs w:val="24"/>
        </w:rPr>
        <w:t xml:space="preserve"> </w:t>
      </w:r>
      <w:r w:rsidRPr="00B55A81">
        <w:rPr>
          <w:sz w:val="24"/>
          <w:szCs w:val="24"/>
        </w:rPr>
        <w:t xml:space="preserve"> по чистым видам экономической деятельности</w:t>
      </w:r>
      <w:r>
        <w:rPr>
          <w:sz w:val="24"/>
          <w:szCs w:val="24"/>
        </w:rPr>
        <w:t xml:space="preserve"> (разделы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Д, Е) </w:t>
      </w:r>
      <w:r w:rsidRPr="00B55A81">
        <w:rPr>
          <w:sz w:val="24"/>
          <w:szCs w:val="24"/>
        </w:rPr>
        <w:t xml:space="preserve"> по полному кругу организаций </w:t>
      </w:r>
      <w:r>
        <w:rPr>
          <w:sz w:val="24"/>
          <w:szCs w:val="24"/>
        </w:rPr>
        <w:t>(с учетом структурных подразделений ОА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завод») </w:t>
      </w:r>
      <w:r w:rsidRPr="00B55A81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39</w:t>
      </w:r>
      <w:r w:rsidR="000457A5">
        <w:rPr>
          <w:sz w:val="24"/>
          <w:szCs w:val="24"/>
        </w:rPr>
        <w:t xml:space="preserve"> </w:t>
      </w:r>
      <w:r>
        <w:rPr>
          <w:sz w:val="24"/>
          <w:szCs w:val="24"/>
        </w:rPr>
        <w:t>900</w:t>
      </w:r>
      <w:r w:rsidRPr="00B55A81">
        <w:rPr>
          <w:sz w:val="24"/>
          <w:szCs w:val="24"/>
        </w:rPr>
        <w:t xml:space="preserve"> млн. рублей, темп роста в фактических ценах </w:t>
      </w:r>
      <w:r>
        <w:rPr>
          <w:sz w:val="24"/>
          <w:szCs w:val="24"/>
        </w:rPr>
        <w:t>111</w:t>
      </w:r>
      <w:r w:rsidRPr="00B55A81">
        <w:rPr>
          <w:sz w:val="24"/>
          <w:szCs w:val="24"/>
        </w:rPr>
        <w:t xml:space="preserve">%, индекс  промышленного производства </w:t>
      </w:r>
      <w:r>
        <w:rPr>
          <w:sz w:val="24"/>
          <w:szCs w:val="24"/>
        </w:rPr>
        <w:t>104,2%</w:t>
      </w:r>
      <w:r w:rsidRPr="00B55A81">
        <w:rPr>
          <w:sz w:val="24"/>
          <w:szCs w:val="24"/>
        </w:rPr>
        <w:t>.</w:t>
      </w:r>
    </w:p>
    <w:p w:rsidR="001E17AD" w:rsidRPr="00E54302" w:rsidRDefault="001E17AD" w:rsidP="00AA02CB">
      <w:pPr>
        <w:pStyle w:val="a8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6A79">
        <w:rPr>
          <w:sz w:val="24"/>
        </w:rPr>
        <w:t xml:space="preserve">  </w:t>
      </w:r>
      <w:r>
        <w:rPr>
          <w:sz w:val="24"/>
        </w:rPr>
        <w:t xml:space="preserve">         </w:t>
      </w:r>
      <w:r w:rsidR="00486D81">
        <w:rPr>
          <w:sz w:val="24"/>
        </w:rPr>
        <w:t xml:space="preserve"> </w:t>
      </w:r>
      <w:r w:rsidRPr="00E54302">
        <w:rPr>
          <w:rFonts w:ascii="Times New Roman" w:hAnsi="Times New Roman" w:cs="Times New Roman"/>
          <w:sz w:val="24"/>
          <w:szCs w:val="24"/>
        </w:rPr>
        <w:t>Стабильно 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54302">
        <w:rPr>
          <w:rFonts w:ascii="Times New Roman" w:hAnsi="Times New Roman" w:cs="Times New Roman"/>
          <w:sz w:val="24"/>
          <w:szCs w:val="24"/>
        </w:rPr>
        <w:t xml:space="preserve"> крупные промышленные предприятия:  АО «</w:t>
      </w:r>
      <w:proofErr w:type="spellStart"/>
      <w:r w:rsidRPr="00E5430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E54302">
        <w:rPr>
          <w:rFonts w:ascii="Times New Roman" w:hAnsi="Times New Roman" w:cs="Times New Roman"/>
          <w:sz w:val="24"/>
          <w:szCs w:val="24"/>
        </w:rPr>
        <w:t xml:space="preserve"> завод»</w:t>
      </w:r>
      <w:r>
        <w:rPr>
          <w:rFonts w:ascii="Times New Roman" w:hAnsi="Times New Roman" w:cs="Times New Roman"/>
          <w:sz w:val="24"/>
          <w:szCs w:val="24"/>
        </w:rPr>
        <w:t xml:space="preserve"> (темп роста объемов производства </w:t>
      </w:r>
      <w:r w:rsidRPr="00E543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430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30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E54302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54302">
        <w:rPr>
          <w:rFonts w:ascii="Times New Roman" w:hAnsi="Times New Roman" w:cs="Times New Roman"/>
          <w:sz w:val="24"/>
          <w:szCs w:val="24"/>
        </w:rPr>
        <w:t xml:space="preserve">  ООО «Завод нефтегазового оборудования  «</w:t>
      </w:r>
      <w:proofErr w:type="spellStart"/>
      <w:r w:rsidRPr="00E54302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Pr="00E54302">
        <w:rPr>
          <w:rFonts w:ascii="Times New Roman" w:hAnsi="Times New Roman" w:cs="Times New Roman"/>
          <w:sz w:val="24"/>
          <w:szCs w:val="24"/>
        </w:rPr>
        <w:t>» (1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54302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ОАО «Торговый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завод» (109,5%),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Воткинскмолоко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(117%) </w:t>
      </w:r>
      <w:r w:rsidRPr="00E54302">
        <w:rPr>
          <w:rFonts w:ascii="Times New Roman" w:hAnsi="Times New Roman" w:cs="Times New Roman"/>
          <w:sz w:val="24"/>
          <w:szCs w:val="24"/>
        </w:rPr>
        <w:t>и другие</w:t>
      </w:r>
      <w:r>
        <w:rPr>
          <w:rFonts w:ascii="Times New Roman" w:hAnsi="Times New Roman" w:cs="Times New Roman"/>
          <w:sz w:val="24"/>
          <w:szCs w:val="24"/>
        </w:rPr>
        <w:t>. Несколько снизились темпы роста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5430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E54302">
        <w:rPr>
          <w:rFonts w:ascii="Times New Roman" w:hAnsi="Times New Roman" w:cs="Times New Roman"/>
          <w:sz w:val="24"/>
          <w:szCs w:val="24"/>
        </w:rPr>
        <w:t xml:space="preserve"> «Электротехнический завод «Вектор» (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E5430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54302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E54302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Pr="00E54302">
        <w:rPr>
          <w:rFonts w:ascii="Times New Roman" w:hAnsi="Times New Roman" w:cs="Times New Roman"/>
          <w:sz w:val="24"/>
          <w:szCs w:val="24"/>
        </w:rPr>
        <w:t xml:space="preserve"> промышленная компания» (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5430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7AD" w:rsidRPr="00B55A81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  <w:r w:rsidRPr="00B55A81">
        <w:rPr>
          <w:sz w:val="24"/>
          <w:szCs w:val="24"/>
        </w:rPr>
        <w:t xml:space="preserve">           </w:t>
      </w:r>
      <w:r w:rsidR="004175C6">
        <w:rPr>
          <w:sz w:val="24"/>
          <w:szCs w:val="24"/>
        </w:rPr>
        <w:t>О</w:t>
      </w:r>
      <w:r w:rsidRPr="00B55A81">
        <w:rPr>
          <w:sz w:val="24"/>
          <w:szCs w:val="24"/>
        </w:rPr>
        <w:t>бъем отгруженной продукции по городу в 201</w:t>
      </w:r>
      <w:r>
        <w:rPr>
          <w:sz w:val="24"/>
          <w:szCs w:val="24"/>
        </w:rPr>
        <w:t>8</w:t>
      </w:r>
      <w:r w:rsidRPr="00B55A81">
        <w:rPr>
          <w:sz w:val="24"/>
          <w:szCs w:val="24"/>
        </w:rPr>
        <w:t xml:space="preserve"> году </w:t>
      </w:r>
      <w:r w:rsidR="004175C6">
        <w:rPr>
          <w:sz w:val="24"/>
          <w:szCs w:val="24"/>
        </w:rPr>
        <w:t>составил</w:t>
      </w:r>
      <w:r w:rsidRPr="00B55A81">
        <w:rPr>
          <w:sz w:val="24"/>
          <w:szCs w:val="24"/>
        </w:rPr>
        <w:t xml:space="preserve"> </w:t>
      </w:r>
      <w:r w:rsidR="004175C6">
        <w:rPr>
          <w:sz w:val="24"/>
          <w:szCs w:val="24"/>
        </w:rPr>
        <w:t>39 295</w:t>
      </w:r>
      <w:r>
        <w:rPr>
          <w:sz w:val="24"/>
          <w:szCs w:val="24"/>
        </w:rPr>
        <w:t xml:space="preserve"> </w:t>
      </w:r>
      <w:r w:rsidRPr="00B55A81">
        <w:rPr>
          <w:sz w:val="24"/>
          <w:szCs w:val="24"/>
        </w:rPr>
        <w:t xml:space="preserve"> млн. рублей, с темпом роста </w:t>
      </w:r>
      <w:r w:rsidR="00486D81">
        <w:rPr>
          <w:sz w:val="24"/>
          <w:szCs w:val="24"/>
        </w:rPr>
        <w:t xml:space="preserve">98,4 </w:t>
      </w:r>
      <w:r w:rsidRPr="00B55A81">
        <w:rPr>
          <w:sz w:val="24"/>
          <w:szCs w:val="24"/>
        </w:rPr>
        <w:t>%</w:t>
      </w:r>
      <w:r>
        <w:rPr>
          <w:sz w:val="24"/>
          <w:szCs w:val="24"/>
        </w:rPr>
        <w:t xml:space="preserve"> к уровню 2017 года</w:t>
      </w:r>
      <w:r w:rsidRPr="00B55A81">
        <w:rPr>
          <w:sz w:val="24"/>
          <w:szCs w:val="24"/>
        </w:rPr>
        <w:t>.</w:t>
      </w:r>
    </w:p>
    <w:p w:rsidR="001E17AD" w:rsidRDefault="00486D81" w:rsidP="00486D81">
      <w:pPr>
        <w:pStyle w:val="a4"/>
        <w:tabs>
          <w:tab w:val="left" w:pos="709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17AD" w:rsidRPr="00B55A81">
        <w:rPr>
          <w:sz w:val="24"/>
          <w:szCs w:val="24"/>
        </w:rPr>
        <w:t>В 201</w:t>
      </w:r>
      <w:r w:rsidR="001E17AD">
        <w:rPr>
          <w:sz w:val="24"/>
          <w:szCs w:val="24"/>
        </w:rPr>
        <w:t xml:space="preserve">9-2021 годах  </w:t>
      </w:r>
      <w:r w:rsidR="001E17AD" w:rsidRPr="00B55A81">
        <w:rPr>
          <w:sz w:val="24"/>
          <w:szCs w:val="24"/>
        </w:rPr>
        <w:t xml:space="preserve"> рост</w:t>
      </w:r>
      <w:r w:rsidR="001E17AD">
        <w:rPr>
          <w:sz w:val="24"/>
          <w:szCs w:val="24"/>
        </w:rPr>
        <w:t xml:space="preserve">  объемов производства </w:t>
      </w:r>
      <w:r w:rsidR="001E17AD" w:rsidRPr="00B55A81">
        <w:rPr>
          <w:sz w:val="24"/>
          <w:szCs w:val="24"/>
        </w:rPr>
        <w:t xml:space="preserve"> прогнозируется в пределах  1</w:t>
      </w:r>
      <w:r w:rsidR="001E17AD">
        <w:rPr>
          <w:sz w:val="24"/>
          <w:szCs w:val="24"/>
        </w:rPr>
        <w:t>04-105</w:t>
      </w:r>
      <w:r w:rsidR="001E17AD" w:rsidRPr="00B55A81">
        <w:rPr>
          <w:sz w:val="24"/>
          <w:szCs w:val="24"/>
        </w:rPr>
        <w:t>%</w:t>
      </w:r>
      <w:r w:rsidR="00EA3F73">
        <w:rPr>
          <w:sz w:val="24"/>
          <w:szCs w:val="24"/>
        </w:rPr>
        <w:t xml:space="preserve"> в соответствии с прогнозами крупных промышленных предприятий</w:t>
      </w:r>
      <w:r w:rsidR="001E17AD" w:rsidRPr="00B55A81">
        <w:rPr>
          <w:sz w:val="24"/>
          <w:szCs w:val="24"/>
        </w:rPr>
        <w:t>.</w:t>
      </w:r>
    </w:p>
    <w:p w:rsidR="001E17AD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  <w:r w:rsidRPr="00B5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17AD" w:rsidRPr="00B55A81" w:rsidRDefault="001E17AD" w:rsidP="00AA02CB">
      <w:pPr>
        <w:pStyle w:val="a4"/>
        <w:spacing w:line="3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55A81">
        <w:rPr>
          <w:b/>
          <w:sz w:val="24"/>
          <w:szCs w:val="24"/>
        </w:rPr>
        <w:t>Потребительский рынок</w:t>
      </w:r>
    </w:p>
    <w:p w:rsidR="001E17AD" w:rsidRPr="00B55A81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  <w:r w:rsidRPr="00B55A81">
        <w:rPr>
          <w:sz w:val="24"/>
          <w:szCs w:val="24"/>
        </w:rPr>
        <w:t xml:space="preserve">          Объем розничного товарооборота  в 20</w:t>
      </w:r>
      <w:r>
        <w:rPr>
          <w:sz w:val="24"/>
          <w:szCs w:val="24"/>
        </w:rPr>
        <w:t>17</w:t>
      </w:r>
      <w:r w:rsidRPr="00B55A81">
        <w:rPr>
          <w:sz w:val="24"/>
          <w:szCs w:val="24"/>
        </w:rPr>
        <w:t xml:space="preserve"> году составил </w:t>
      </w:r>
      <w:r>
        <w:rPr>
          <w:sz w:val="24"/>
          <w:szCs w:val="24"/>
        </w:rPr>
        <w:t>14</w:t>
      </w:r>
      <w:r w:rsidR="000457A5">
        <w:rPr>
          <w:sz w:val="24"/>
          <w:szCs w:val="24"/>
        </w:rPr>
        <w:t xml:space="preserve"> </w:t>
      </w:r>
      <w:r>
        <w:rPr>
          <w:sz w:val="24"/>
          <w:szCs w:val="24"/>
        </w:rPr>
        <w:t>275</w:t>
      </w:r>
      <w:r w:rsidRPr="00B55A81">
        <w:rPr>
          <w:sz w:val="24"/>
          <w:szCs w:val="24"/>
        </w:rPr>
        <w:t xml:space="preserve"> млн. рублей </w:t>
      </w:r>
      <w:r>
        <w:rPr>
          <w:sz w:val="24"/>
          <w:szCs w:val="24"/>
        </w:rPr>
        <w:t>–</w:t>
      </w:r>
      <w:r w:rsidRPr="00B55A81">
        <w:rPr>
          <w:sz w:val="24"/>
          <w:szCs w:val="24"/>
        </w:rPr>
        <w:t xml:space="preserve"> </w:t>
      </w:r>
      <w:r>
        <w:rPr>
          <w:sz w:val="24"/>
          <w:szCs w:val="24"/>
        </w:rPr>
        <w:t>101,5</w:t>
      </w:r>
      <w:r w:rsidRPr="00B55A81">
        <w:rPr>
          <w:sz w:val="24"/>
          <w:szCs w:val="24"/>
        </w:rPr>
        <w:t>%  к уровню 20</w:t>
      </w:r>
      <w:r>
        <w:rPr>
          <w:sz w:val="24"/>
          <w:szCs w:val="24"/>
        </w:rPr>
        <w:t>16</w:t>
      </w:r>
      <w:r w:rsidRPr="00B55A81">
        <w:rPr>
          <w:sz w:val="24"/>
          <w:szCs w:val="24"/>
        </w:rPr>
        <w:t xml:space="preserve"> года  в сопоставимых ценах.</w:t>
      </w:r>
    </w:p>
    <w:p w:rsidR="001E17AD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  <w:r w:rsidRPr="00B55A81">
        <w:rPr>
          <w:sz w:val="24"/>
          <w:szCs w:val="24"/>
        </w:rPr>
        <w:t xml:space="preserve">            Ожидаемая  величин</w:t>
      </w:r>
      <w:r w:rsidR="00740613">
        <w:rPr>
          <w:sz w:val="24"/>
          <w:szCs w:val="24"/>
        </w:rPr>
        <w:t>а</w:t>
      </w:r>
      <w:r w:rsidRPr="00B55A81">
        <w:rPr>
          <w:sz w:val="24"/>
          <w:szCs w:val="24"/>
        </w:rPr>
        <w:t xml:space="preserve">  розничного товарооборота за  201</w:t>
      </w:r>
      <w:r>
        <w:rPr>
          <w:sz w:val="24"/>
          <w:szCs w:val="24"/>
        </w:rPr>
        <w:t>8</w:t>
      </w:r>
      <w:r w:rsidRPr="00B55A81">
        <w:rPr>
          <w:sz w:val="24"/>
          <w:szCs w:val="24"/>
        </w:rPr>
        <w:t xml:space="preserve"> год  -   </w:t>
      </w:r>
      <w:r>
        <w:rPr>
          <w:sz w:val="24"/>
          <w:szCs w:val="24"/>
        </w:rPr>
        <w:t>14</w:t>
      </w:r>
      <w:r w:rsidR="000457A5">
        <w:rPr>
          <w:sz w:val="24"/>
          <w:szCs w:val="24"/>
        </w:rPr>
        <w:t xml:space="preserve"> </w:t>
      </w:r>
      <w:r>
        <w:rPr>
          <w:sz w:val="24"/>
          <w:szCs w:val="24"/>
        </w:rPr>
        <w:t>990</w:t>
      </w:r>
      <w:r w:rsidRPr="00B55A81">
        <w:rPr>
          <w:sz w:val="24"/>
          <w:szCs w:val="24"/>
        </w:rPr>
        <w:t xml:space="preserve">  млн. рублей, </w:t>
      </w:r>
      <w:r>
        <w:rPr>
          <w:sz w:val="24"/>
          <w:szCs w:val="24"/>
        </w:rPr>
        <w:t>102,7%</w:t>
      </w:r>
      <w:r w:rsidRPr="00B55A81">
        <w:rPr>
          <w:sz w:val="24"/>
          <w:szCs w:val="24"/>
        </w:rPr>
        <w:t xml:space="preserve"> в сопоставимых ценах к уровню 20</w:t>
      </w:r>
      <w:r>
        <w:rPr>
          <w:sz w:val="24"/>
          <w:szCs w:val="24"/>
        </w:rPr>
        <w:t>17</w:t>
      </w:r>
      <w:r w:rsidRPr="00B55A81">
        <w:rPr>
          <w:sz w:val="24"/>
          <w:szCs w:val="24"/>
        </w:rPr>
        <w:t xml:space="preserve"> года.</w:t>
      </w:r>
    </w:p>
    <w:p w:rsidR="001E17AD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  <w:r w:rsidRPr="00B55A81">
        <w:rPr>
          <w:sz w:val="24"/>
          <w:szCs w:val="24"/>
        </w:rPr>
        <w:t xml:space="preserve">           С учетом сложившейся динамики,  ежегодное увеличение </w:t>
      </w:r>
      <w:r>
        <w:rPr>
          <w:sz w:val="24"/>
          <w:szCs w:val="24"/>
        </w:rPr>
        <w:t>товарооборота до 2021 года прогнозируется в пределах 101-103% в сопоставимых ценах.</w:t>
      </w:r>
    </w:p>
    <w:p w:rsidR="001E17AD" w:rsidRPr="00AF181D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F18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На  величину товарооборота оказывает влияние  существенный отток денежной массы в  торговые центры города  Ижевска. </w:t>
      </w:r>
    </w:p>
    <w:p w:rsidR="001E17AD" w:rsidRDefault="001E17AD" w:rsidP="00AA02CB">
      <w:pPr>
        <w:pStyle w:val="a4"/>
        <w:spacing w:line="300" w:lineRule="exact"/>
        <w:jc w:val="both"/>
        <w:rPr>
          <w:sz w:val="24"/>
          <w:szCs w:val="24"/>
        </w:rPr>
      </w:pPr>
    </w:p>
    <w:p w:rsidR="001E17AD" w:rsidRPr="009D013C" w:rsidRDefault="001E17AD" w:rsidP="00AA02CB">
      <w:pPr>
        <w:pStyle w:val="a4"/>
        <w:spacing w:line="300" w:lineRule="exact"/>
        <w:jc w:val="both"/>
        <w:rPr>
          <w:b/>
          <w:sz w:val="24"/>
          <w:szCs w:val="24"/>
        </w:rPr>
      </w:pPr>
      <w:r w:rsidRPr="00504861">
        <w:rPr>
          <w:b/>
          <w:sz w:val="24"/>
          <w:szCs w:val="24"/>
        </w:rPr>
        <w:t xml:space="preserve">            </w:t>
      </w:r>
      <w:r w:rsidRPr="009D013C">
        <w:rPr>
          <w:b/>
          <w:sz w:val="24"/>
          <w:szCs w:val="24"/>
        </w:rPr>
        <w:t>Инвестиции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  За 2017 год объем инвестиций составил   2</w:t>
      </w:r>
      <w:r w:rsidR="000457A5">
        <w:rPr>
          <w:rFonts w:ascii="Times New Roman" w:hAnsi="Times New Roman" w:cs="Times New Roman"/>
          <w:sz w:val="24"/>
          <w:szCs w:val="24"/>
        </w:rPr>
        <w:t xml:space="preserve"> </w:t>
      </w:r>
      <w:r w:rsidRPr="009D013C">
        <w:rPr>
          <w:rFonts w:ascii="Times New Roman" w:hAnsi="Times New Roman" w:cs="Times New Roman"/>
          <w:sz w:val="24"/>
          <w:szCs w:val="24"/>
        </w:rPr>
        <w:t xml:space="preserve">370,7 млн. рублей, темп роста в фактических ценах  к  2016 году – 75%.  </w:t>
      </w:r>
    </w:p>
    <w:p w:rsidR="001E17AD" w:rsidRPr="009D013C" w:rsidRDefault="001E17AD" w:rsidP="00AA0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</w:rPr>
        <w:t xml:space="preserve">            </w:t>
      </w:r>
      <w:r w:rsidRPr="009D013C">
        <w:rPr>
          <w:rFonts w:ascii="Times New Roman" w:hAnsi="Times New Roman" w:cs="Times New Roman"/>
          <w:sz w:val="24"/>
          <w:szCs w:val="24"/>
        </w:rPr>
        <w:t>Структура инвестиций в городе Воткинске такова, что от 40%  и</w:t>
      </w:r>
      <w:r w:rsidR="000457A5">
        <w:rPr>
          <w:rFonts w:ascii="Times New Roman" w:hAnsi="Times New Roman" w:cs="Times New Roman"/>
          <w:sz w:val="24"/>
          <w:szCs w:val="24"/>
        </w:rPr>
        <w:t xml:space="preserve"> более приходится на инвестиц</w:t>
      </w:r>
      <w:proofErr w:type="gramStart"/>
      <w:r w:rsidR="000457A5">
        <w:rPr>
          <w:rFonts w:ascii="Times New Roman" w:hAnsi="Times New Roman" w:cs="Times New Roman"/>
          <w:sz w:val="24"/>
          <w:szCs w:val="24"/>
        </w:rPr>
        <w:t xml:space="preserve">ии </w:t>
      </w:r>
      <w:r w:rsidRPr="009D013C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9D01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013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9D013C">
        <w:rPr>
          <w:rFonts w:ascii="Times New Roman" w:hAnsi="Times New Roman" w:cs="Times New Roman"/>
          <w:sz w:val="24"/>
          <w:szCs w:val="24"/>
        </w:rPr>
        <w:t xml:space="preserve"> завод». В связи с завершением масштабной модернизации производства в 2017 году объем инвестиций на предприятии снизился, что и повлияло на показатели в целом по городу.</w:t>
      </w:r>
    </w:p>
    <w:p w:rsidR="001E17AD" w:rsidRPr="009D013C" w:rsidRDefault="001E17AD" w:rsidP="00AA0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 В 2018 году АО «</w:t>
      </w:r>
      <w:proofErr w:type="spellStart"/>
      <w:r w:rsidRPr="009D013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9D013C">
        <w:rPr>
          <w:rFonts w:ascii="Times New Roman" w:hAnsi="Times New Roman" w:cs="Times New Roman"/>
          <w:sz w:val="24"/>
          <w:szCs w:val="24"/>
        </w:rPr>
        <w:t xml:space="preserve"> завод» также прогнозирует  снижение инвестиций на 30% или 600 млн. рублей по сравнению с уровнем 2017 года.</w:t>
      </w:r>
    </w:p>
    <w:p w:rsidR="001E17AD" w:rsidRPr="009D013C" w:rsidRDefault="001E17AD" w:rsidP="00AA02C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Инвестиционная политика позволит компенсировать данную величину за счет реализации инвестиционных проектов  ООО «ЭТЗ Вектор», </w:t>
      </w:r>
      <w:r w:rsidRPr="009D013C">
        <w:rPr>
          <w:rFonts w:ascii="Times New Roman" w:hAnsi="Times New Roman" w:cs="Times New Roman"/>
          <w:iCs/>
          <w:color w:val="000000"/>
          <w:sz w:val="24"/>
          <w:szCs w:val="24"/>
        </w:rPr>
        <w:t>ОАО «Торговый дом «</w:t>
      </w:r>
      <w:proofErr w:type="spellStart"/>
      <w:r w:rsidRPr="009D013C">
        <w:rPr>
          <w:rFonts w:ascii="Times New Roman" w:hAnsi="Times New Roman" w:cs="Times New Roman"/>
          <w:iCs/>
          <w:color w:val="000000"/>
          <w:sz w:val="24"/>
          <w:szCs w:val="24"/>
        </w:rPr>
        <w:t>Воткинский</w:t>
      </w:r>
      <w:proofErr w:type="spellEnd"/>
      <w:r w:rsidRPr="009D01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завод», ООО «Завод НГО «</w:t>
      </w:r>
      <w:proofErr w:type="spellStart"/>
      <w:r w:rsidRPr="009D013C">
        <w:rPr>
          <w:rFonts w:ascii="Times New Roman" w:hAnsi="Times New Roman" w:cs="Times New Roman"/>
          <w:iCs/>
          <w:color w:val="000000"/>
          <w:sz w:val="24"/>
          <w:szCs w:val="24"/>
        </w:rPr>
        <w:t>Техновек</w:t>
      </w:r>
      <w:proofErr w:type="spellEnd"/>
      <w:r w:rsidRPr="009D01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  и других  предприятий города.  При благоприятном  прогнозе  развития  экономики возможна некоторая положительная динамика инвестиционной составляющей в 2019-2021 годах – в пределах 5-6%. 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Оплата  труда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Фонд оплаты труда крупных и средних предприятий  за 2017 год сложился в размере 12</w:t>
      </w:r>
      <w:r w:rsidR="00BF21D6">
        <w:rPr>
          <w:rFonts w:ascii="Times New Roman" w:hAnsi="Times New Roman" w:cs="Times New Roman"/>
          <w:sz w:val="24"/>
          <w:szCs w:val="24"/>
        </w:rPr>
        <w:t xml:space="preserve"> </w:t>
      </w:r>
      <w:r w:rsidRPr="009D013C">
        <w:rPr>
          <w:rFonts w:ascii="Times New Roman" w:hAnsi="Times New Roman" w:cs="Times New Roman"/>
          <w:sz w:val="24"/>
          <w:szCs w:val="24"/>
        </w:rPr>
        <w:t>575 млн. рублей, увеличившись по сравнению с 2016 годом на 9%. Среднемесячная заработная плата выросла    на 10,8% и составила 38</w:t>
      </w:r>
      <w:r w:rsidR="00BF21D6">
        <w:rPr>
          <w:rFonts w:ascii="Times New Roman" w:hAnsi="Times New Roman" w:cs="Times New Roman"/>
          <w:sz w:val="24"/>
          <w:szCs w:val="24"/>
        </w:rPr>
        <w:t xml:space="preserve"> </w:t>
      </w:r>
      <w:r w:rsidRPr="009D013C">
        <w:rPr>
          <w:rFonts w:ascii="Times New Roman" w:hAnsi="Times New Roman" w:cs="Times New Roman"/>
          <w:sz w:val="24"/>
          <w:szCs w:val="24"/>
        </w:rPr>
        <w:t>223 рубля.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Большое  влияние на рост заработной платы в городе оказывает градообразующее предприятие АО «</w:t>
      </w:r>
      <w:proofErr w:type="spellStart"/>
      <w:r w:rsidRPr="009D013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9D013C">
        <w:rPr>
          <w:rFonts w:ascii="Times New Roman" w:hAnsi="Times New Roman" w:cs="Times New Roman"/>
          <w:sz w:val="24"/>
          <w:szCs w:val="24"/>
        </w:rPr>
        <w:t xml:space="preserve"> завод». В 2018 году  темп роста заработной платы в целом по городу  ожидается в размере 10</w:t>
      </w:r>
      <w:r w:rsidR="00740613">
        <w:rPr>
          <w:rFonts w:ascii="Times New Roman" w:hAnsi="Times New Roman" w:cs="Times New Roman"/>
          <w:sz w:val="24"/>
          <w:szCs w:val="24"/>
        </w:rPr>
        <w:t>7,6</w:t>
      </w:r>
      <w:r w:rsidRPr="009D013C">
        <w:rPr>
          <w:rFonts w:ascii="Times New Roman" w:hAnsi="Times New Roman" w:cs="Times New Roman"/>
          <w:sz w:val="24"/>
          <w:szCs w:val="24"/>
        </w:rPr>
        <w:t xml:space="preserve">% к уровню 2017 года, средняя заработная плата составит ориентировочно </w:t>
      </w:r>
      <w:r w:rsidR="00740613">
        <w:rPr>
          <w:rFonts w:ascii="Times New Roman" w:hAnsi="Times New Roman" w:cs="Times New Roman"/>
          <w:sz w:val="24"/>
          <w:szCs w:val="24"/>
        </w:rPr>
        <w:t>39 380</w:t>
      </w:r>
      <w:r w:rsidRPr="009D013C">
        <w:rPr>
          <w:rFonts w:ascii="Times New Roman" w:hAnsi="Times New Roman" w:cs="Times New Roman"/>
          <w:sz w:val="24"/>
          <w:szCs w:val="24"/>
        </w:rPr>
        <w:t xml:space="preserve">  рубля.  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В 2019-2021 годах  увеличение фонда оплаты труда и заработной платы  прогнозируется в пределах  104%-105%.  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17AD" w:rsidRPr="009D013C" w:rsidRDefault="001E17AD" w:rsidP="00AA02CB">
      <w:pPr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3C">
        <w:rPr>
          <w:rFonts w:ascii="Times New Roman" w:hAnsi="Times New Roman" w:cs="Times New Roman"/>
          <w:b/>
          <w:sz w:val="24"/>
          <w:szCs w:val="24"/>
        </w:rPr>
        <w:t xml:space="preserve">         Рынок труда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На протяжении последних лет ситуация на рынке труда в городе остается стабильной.  Уровень безработицы в 2017 году составил 0,42%. К концу 2018 года   уровень безработицы  </w:t>
      </w:r>
      <w:r w:rsidR="00740613">
        <w:rPr>
          <w:rFonts w:ascii="Times New Roman" w:hAnsi="Times New Roman" w:cs="Times New Roman"/>
          <w:sz w:val="24"/>
          <w:szCs w:val="24"/>
        </w:rPr>
        <w:t>составил</w:t>
      </w:r>
      <w:r w:rsidRPr="009D013C">
        <w:rPr>
          <w:rFonts w:ascii="Times New Roman" w:hAnsi="Times New Roman" w:cs="Times New Roman"/>
          <w:sz w:val="24"/>
          <w:szCs w:val="24"/>
        </w:rPr>
        <w:t xml:space="preserve">  0,5</w:t>
      </w:r>
      <w:r w:rsidR="00740613">
        <w:rPr>
          <w:rFonts w:ascii="Times New Roman" w:hAnsi="Times New Roman" w:cs="Times New Roman"/>
          <w:sz w:val="24"/>
          <w:szCs w:val="24"/>
        </w:rPr>
        <w:t>1</w:t>
      </w:r>
      <w:r w:rsidRPr="009D013C">
        <w:rPr>
          <w:rFonts w:ascii="Times New Roman" w:hAnsi="Times New Roman" w:cs="Times New Roman"/>
          <w:sz w:val="24"/>
          <w:szCs w:val="24"/>
        </w:rPr>
        <w:t>%.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В 2019-2021  годах существенного роста уровня безработицы не прогнозируется. Уровень безработицы останется в пределах 0,5-0,52%  от экономически активного населения.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013C">
        <w:rPr>
          <w:rFonts w:ascii="Times New Roman" w:hAnsi="Times New Roman" w:cs="Times New Roman"/>
          <w:sz w:val="24"/>
          <w:szCs w:val="24"/>
        </w:rPr>
        <w:t xml:space="preserve">         Вместе с тем, существуют риски  роста безработицы  в случае снижения объема государственного  оборонного заказа на градообразующем предприятии  и возможного снижения  объемов производства на других предприятиях. </w:t>
      </w:r>
    </w:p>
    <w:p w:rsidR="001E17AD" w:rsidRPr="009D013C" w:rsidRDefault="001E17AD" w:rsidP="00AA02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17AD" w:rsidRPr="009D013C" w:rsidRDefault="007A2CED" w:rsidP="007A2CED">
      <w:pPr>
        <w:pStyle w:val="1"/>
        <w:tabs>
          <w:tab w:val="left" w:pos="567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4E1C">
        <w:rPr>
          <w:sz w:val="24"/>
          <w:szCs w:val="24"/>
        </w:rPr>
        <w:t xml:space="preserve"> </w:t>
      </w:r>
      <w:r w:rsidR="001E17AD" w:rsidRPr="009D013C">
        <w:rPr>
          <w:sz w:val="24"/>
          <w:szCs w:val="24"/>
        </w:rPr>
        <w:t>Малое предпринимательство</w:t>
      </w:r>
    </w:p>
    <w:p w:rsidR="001E17AD" w:rsidRPr="009D013C" w:rsidRDefault="001E17AD" w:rsidP="00AA02CB">
      <w:pPr>
        <w:pStyle w:val="1"/>
        <w:spacing w:line="300" w:lineRule="exact"/>
        <w:jc w:val="both"/>
        <w:rPr>
          <w:b w:val="0"/>
          <w:sz w:val="24"/>
          <w:szCs w:val="24"/>
        </w:rPr>
      </w:pPr>
      <w:r w:rsidRPr="009D013C">
        <w:rPr>
          <w:sz w:val="24"/>
          <w:szCs w:val="24"/>
        </w:rPr>
        <w:t xml:space="preserve">            </w:t>
      </w:r>
      <w:r w:rsidRPr="009D013C">
        <w:rPr>
          <w:b w:val="0"/>
          <w:sz w:val="24"/>
          <w:szCs w:val="24"/>
        </w:rPr>
        <w:t>Количество малых и средних предприятий, включая индивидуальных предпринимателей,  в 2017 году составило 3</w:t>
      </w:r>
      <w:r w:rsidR="00D1011D">
        <w:rPr>
          <w:b w:val="0"/>
          <w:sz w:val="24"/>
          <w:szCs w:val="24"/>
        </w:rPr>
        <w:t xml:space="preserve"> </w:t>
      </w:r>
      <w:r w:rsidRPr="009D013C">
        <w:rPr>
          <w:b w:val="0"/>
          <w:sz w:val="24"/>
          <w:szCs w:val="24"/>
        </w:rPr>
        <w:t>12</w:t>
      </w:r>
      <w:r w:rsidR="000F00FF">
        <w:rPr>
          <w:b w:val="0"/>
          <w:sz w:val="24"/>
          <w:szCs w:val="24"/>
        </w:rPr>
        <w:t>0</w:t>
      </w:r>
      <w:r w:rsidRPr="009D013C">
        <w:rPr>
          <w:b w:val="0"/>
          <w:sz w:val="24"/>
          <w:szCs w:val="24"/>
        </w:rPr>
        <w:t xml:space="preserve"> единиц, </w:t>
      </w:r>
      <w:r w:rsidR="000F00FF">
        <w:rPr>
          <w:b w:val="0"/>
          <w:sz w:val="24"/>
          <w:szCs w:val="24"/>
        </w:rPr>
        <w:t>численность работающих на них 12 459</w:t>
      </w:r>
      <w:r w:rsidRPr="009D013C">
        <w:rPr>
          <w:b w:val="0"/>
          <w:sz w:val="24"/>
          <w:szCs w:val="24"/>
        </w:rPr>
        <w:t xml:space="preserve"> человека.</w:t>
      </w:r>
    </w:p>
    <w:p w:rsidR="001E17AD" w:rsidRPr="009D013C" w:rsidRDefault="001E17AD" w:rsidP="00AA02CB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13C">
        <w:rPr>
          <w:rFonts w:ascii="Times New Roman" w:hAnsi="Times New Roman" w:cs="Times New Roman"/>
          <w:sz w:val="24"/>
          <w:szCs w:val="24"/>
        </w:rPr>
        <w:t>В сфере малого и среднего бизнеса в 201</w:t>
      </w:r>
      <w:r w:rsidR="000457A5">
        <w:rPr>
          <w:rFonts w:ascii="Times New Roman" w:hAnsi="Times New Roman" w:cs="Times New Roman"/>
          <w:sz w:val="24"/>
          <w:szCs w:val="24"/>
        </w:rPr>
        <w:t>9</w:t>
      </w:r>
      <w:r w:rsidRPr="009D013C">
        <w:rPr>
          <w:rFonts w:ascii="Times New Roman" w:hAnsi="Times New Roman" w:cs="Times New Roman"/>
          <w:sz w:val="24"/>
          <w:szCs w:val="24"/>
        </w:rPr>
        <w:t xml:space="preserve">-2021 годах  планируется продолжить </w:t>
      </w:r>
      <w:r w:rsidRPr="009D013C">
        <w:rPr>
          <w:rFonts w:ascii="Times New Roman" w:hAnsi="Times New Roman" w:cs="Times New Roman"/>
          <w:sz w:val="24"/>
          <w:szCs w:val="24"/>
          <w:lang w:eastAsia="en-US"/>
        </w:rPr>
        <w:t>развитие механизмов поддержки и стимулирования предпринимательства в городе      (</w:t>
      </w:r>
      <w:r w:rsidRPr="009D013C">
        <w:rPr>
          <w:rFonts w:ascii="Times New Roman" w:hAnsi="Times New Roman" w:cs="Times New Roman"/>
          <w:sz w:val="24"/>
          <w:szCs w:val="24"/>
        </w:rPr>
        <w:t>оказание финансовой</w:t>
      </w:r>
      <w:r w:rsidRPr="009D013C">
        <w:rPr>
          <w:rFonts w:ascii="Times New Roman" w:hAnsi="Times New Roman" w:cs="Times New Roman"/>
          <w:color w:val="000000"/>
          <w:sz w:val="24"/>
          <w:szCs w:val="24"/>
        </w:rPr>
        <w:t>, информационной, других видов поддержки субъектам малого и среднего предпринимательства, п</w:t>
      </w:r>
      <w:r w:rsidRPr="009D013C">
        <w:rPr>
          <w:rFonts w:ascii="Times New Roman" w:hAnsi="Times New Roman" w:cs="Times New Roman"/>
          <w:sz w:val="24"/>
          <w:szCs w:val="24"/>
          <w:lang w:eastAsia="en-US"/>
        </w:rPr>
        <w:t xml:space="preserve">родвижение продукции малых и средних предприятий города на региональный и межрегиональные рынки),  благодаря чему,  в </w:t>
      </w:r>
      <w:r w:rsidRPr="009D013C">
        <w:rPr>
          <w:rFonts w:ascii="Times New Roman" w:hAnsi="Times New Roman" w:cs="Times New Roman"/>
          <w:sz w:val="24"/>
          <w:szCs w:val="24"/>
        </w:rPr>
        <w:t>прогнозируемом периоде ожидается  увеличение</w:t>
      </w:r>
      <w:r w:rsidR="000F00FF">
        <w:rPr>
          <w:rFonts w:ascii="Times New Roman" w:hAnsi="Times New Roman" w:cs="Times New Roman"/>
          <w:sz w:val="24"/>
          <w:szCs w:val="24"/>
        </w:rPr>
        <w:t>,</w:t>
      </w:r>
      <w:r w:rsidRPr="009D013C">
        <w:rPr>
          <w:rFonts w:ascii="Times New Roman" w:hAnsi="Times New Roman" w:cs="Times New Roman"/>
          <w:sz w:val="24"/>
          <w:szCs w:val="24"/>
        </w:rPr>
        <w:t xml:space="preserve">  как числа субъектов малого бизнеса, так и численности работающих на них</w:t>
      </w:r>
      <w:proofErr w:type="gramEnd"/>
      <w:r w:rsidRPr="009D013C">
        <w:rPr>
          <w:rFonts w:ascii="Times New Roman" w:hAnsi="Times New Roman" w:cs="Times New Roman"/>
          <w:sz w:val="24"/>
          <w:szCs w:val="24"/>
        </w:rPr>
        <w:t xml:space="preserve"> на 1-2% ежегодно.</w:t>
      </w:r>
    </w:p>
    <w:p w:rsidR="00CD16C2" w:rsidRDefault="00CD16C2" w:rsidP="00CD1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План мероприятий по </w:t>
      </w:r>
      <w:r w:rsidR="00672E59">
        <w:rPr>
          <w:rFonts w:ascii="Times New Roman" w:hAnsi="Times New Roman"/>
          <w:sz w:val="24"/>
          <w:szCs w:val="24"/>
        </w:rPr>
        <w:t>рост</w:t>
      </w:r>
      <w:r w:rsidR="00046FC8">
        <w:rPr>
          <w:rFonts w:ascii="Times New Roman" w:hAnsi="Times New Roman"/>
          <w:sz w:val="24"/>
          <w:szCs w:val="24"/>
        </w:rPr>
        <w:t>у</w:t>
      </w:r>
      <w:r w:rsidR="00672E59">
        <w:rPr>
          <w:rFonts w:ascii="Times New Roman" w:hAnsi="Times New Roman"/>
          <w:sz w:val="24"/>
          <w:szCs w:val="24"/>
        </w:rPr>
        <w:t xml:space="preserve"> доходов, оптимизации расходов бюджета</w:t>
      </w:r>
      <w:r>
        <w:rPr>
          <w:rFonts w:ascii="Times New Roman" w:hAnsi="Times New Roman"/>
          <w:sz w:val="24"/>
          <w:szCs w:val="24"/>
        </w:rPr>
        <w:t xml:space="preserve"> и сокращению муниципального долга</w:t>
      </w:r>
      <w:r w:rsidR="00672E59">
        <w:rPr>
          <w:rFonts w:ascii="Times New Roman" w:hAnsi="Times New Roman"/>
          <w:sz w:val="24"/>
          <w:szCs w:val="24"/>
        </w:rPr>
        <w:t xml:space="preserve"> в целях оздоровления муниципальных финансов муниципального образования «Город Воткинск» от 13.10.2017  № 2369</w:t>
      </w:r>
      <w:r>
        <w:rPr>
          <w:rFonts w:ascii="Times New Roman" w:hAnsi="Times New Roman"/>
          <w:sz w:val="24"/>
          <w:szCs w:val="24"/>
        </w:rPr>
        <w:t>.</w:t>
      </w:r>
    </w:p>
    <w:p w:rsidR="00E9563A" w:rsidRDefault="00CD16C2" w:rsidP="00CD1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работа по привлечению дополнительных доходов, эффективному использованию муниципального имущества.  </w:t>
      </w:r>
    </w:p>
    <w:p w:rsidR="002737FB" w:rsidRDefault="002737FB" w:rsidP="00CD16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6A3D" w:rsidRPr="00134D7C" w:rsidRDefault="00E56A3D" w:rsidP="00E56A3D">
      <w:pPr>
        <w:tabs>
          <w:tab w:val="left" w:pos="1134"/>
          <w:tab w:val="num" w:pos="248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34D7C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а</w:t>
      </w:r>
      <w:r w:rsidRPr="00134D7C">
        <w:rPr>
          <w:rFonts w:ascii="Times New Roman" w:hAnsi="Times New Roman"/>
          <w:sz w:val="24"/>
          <w:szCs w:val="24"/>
        </w:rPr>
        <w:t xml:space="preserve"> Бюджетного прогноза</w:t>
      </w:r>
    </w:p>
    <w:p w:rsidR="00E56A3D" w:rsidRPr="00134D7C" w:rsidRDefault="00E56A3D" w:rsidP="00493C28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7C7D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</w:t>
        </w:r>
      </w:hyperlink>
      <w:r w:rsidRPr="00134D7C">
        <w:rPr>
          <w:rFonts w:ascii="Times New Roman" w:hAnsi="Times New Roman"/>
          <w:sz w:val="24"/>
          <w:szCs w:val="24"/>
        </w:rPr>
        <w:t xml:space="preserve"> Закона «О стратегическом планировании в Российской Федерации» Бюджетный прогноз относится к документам стратегического планирования, разрабатываемым в рамках прогнозирования.</w:t>
      </w:r>
    </w:p>
    <w:p w:rsidR="0033369A" w:rsidRDefault="00E56A3D" w:rsidP="00493C28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Бюджетны</w:t>
      </w:r>
      <w:r w:rsidR="00DE71A1">
        <w:rPr>
          <w:rFonts w:ascii="Times New Roman" w:hAnsi="Times New Roman"/>
          <w:sz w:val="24"/>
          <w:szCs w:val="24"/>
        </w:rPr>
        <w:t>й</w:t>
      </w:r>
      <w:r w:rsidRPr="00134D7C">
        <w:rPr>
          <w:rFonts w:ascii="Times New Roman" w:hAnsi="Times New Roman"/>
          <w:sz w:val="24"/>
          <w:szCs w:val="24"/>
        </w:rPr>
        <w:t xml:space="preserve"> прог</w:t>
      </w:r>
      <w:r w:rsidR="00DE71A1">
        <w:rPr>
          <w:rFonts w:ascii="Times New Roman" w:hAnsi="Times New Roman"/>
          <w:sz w:val="24"/>
          <w:szCs w:val="24"/>
        </w:rPr>
        <w:t>ноз</w:t>
      </w:r>
      <w:r w:rsidRPr="00134D7C">
        <w:rPr>
          <w:rFonts w:ascii="Times New Roman" w:hAnsi="Times New Roman"/>
          <w:sz w:val="24"/>
          <w:szCs w:val="24"/>
        </w:rPr>
        <w:t xml:space="preserve"> </w:t>
      </w:r>
      <w:r w:rsidR="0033369A">
        <w:rPr>
          <w:rFonts w:ascii="Times New Roman" w:hAnsi="Times New Roman"/>
          <w:sz w:val="24"/>
          <w:szCs w:val="24"/>
        </w:rPr>
        <w:t>определяет</w:t>
      </w:r>
      <w:r w:rsidRPr="00134D7C">
        <w:rPr>
          <w:rFonts w:ascii="Times New Roman" w:hAnsi="Times New Roman"/>
          <w:sz w:val="24"/>
          <w:szCs w:val="24"/>
        </w:rPr>
        <w:t xml:space="preserve"> основные черты бюджетной политики </w:t>
      </w:r>
      <w:r w:rsidR="0033369A">
        <w:rPr>
          <w:rFonts w:ascii="Times New Roman" w:hAnsi="Times New Roman"/>
          <w:sz w:val="24"/>
          <w:szCs w:val="24"/>
        </w:rPr>
        <w:t>муниципального образовани</w:t>
      </w:r>
      <w:r w:rsidR="00DE71A1">
        <w:rPr>
          <w:rFonts w:ascii="Times New Roman" w:hAnsi="Times New Roman"/>
          <w:sz w:val="24"/>
          <w:szCs w:val="24"/>
        </w:rPr>
        <w:t>я.</w:t>
      </w:r>
    </w:p>
    <w:p w:rsidR="00E56A3D" w:rsidRPr="00134D7C" w:rsidRDefault="00E56A3D" w:rsidP="00316DB7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Наличие Бюджетного прогноза должно способствовать:</w:t>
      </w:r>
    </w:p>
    <w:p w:rsidR="00E56A3D" w:rsidRPr="00134D7C" w:rsidRDefault="00AE6A3F" w:rsidP="00316DB7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6A3D" w:rsidRPr="00134D7C">
        <w:rPr>
          <w:rFonts w:ascii="Times New Roman" w:hAnsi="Times New Roman"/>
          <w:sz w:val="24"/>
          <w:szCs w:val="24"/>
        </w:rPr>
        <w:t xml:space="preserve">росту привлекательности экономики </w:t>
      </w:r>
      <w:r w:rsidR="00246ED8">
        <w:rPr>
          <w:rFonts w:ascii="Times New Roman" w:hAnsi="Times New Roman"/>
          <w:sz w:val="24"/>
          <w:szCs w:val="24"/>
        </w:rPr>
        <w:t>муниципального образования</w:t>
      </w:r>
      <w:r w:rsidR="00316DB7">
        <w:rPr>
          <w:rFonts w:ascii="Times New Roman" w:hAnsi="Times New Roman"/>
          <w:sz w:val="24"/>
          <w:szCs w:val="24"/>
        </w:rPr>
        <w:t xml:space="preserve"> «Город Воткинск»</w:t>
      </w:r>
      <w:r w:rsidR="00E56A3D" w:rsidRPr="00134D7C">
        <w:rPr>
          <w:rFonts w:ascii="Times New Roman" w:hAnsi="Times New Roman"/>
          <w:sz w:val="24"/>
          <w:szCs w:val="24"/>
        </w:rPr>
        <w:t xml:space="preserve"> для потенциальных инвесторов;</w:t>
      </w:r>
    </w:p>
    <w:p w:rsidR="00E56A3D" w:rsidRPr="00134D7C" w:rsidRDefault="00AE6A3F" w:rsidP="00316DB7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6A3D" w:rsidRPr="00134D7C">
        <w:rPr>
          <w:rFonts w:ascii="Times New Roman" w:hAnsi="Times New Roman"/>
          <w:sz w:val="24"/>
          <w:szCs w:val="24"/>
        </w:rPr>
        <w:t>повышению эффективности и сдерживанию роста расходов бюджета.</w:t>
      </w:r>
    </w:p>
    <w:p w:rsidR="00E56A3D" w:rsidRPr="00134D7C" w:rsidRDefault="00E56A3D" w:rsidP="00316DB7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Цель Бюджетного прогноза – оценка основных тенденций развития  бюджета</w:t>
      </w:r>
      <w:r w:rsidR="00132DAD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 xml:space="preserve">, позволяющая путем выработки и </w:t>
      </w:r>
      <w:r w:rsidRPr="00134D7C">
        <w:rPr>
          <w:rFonts w:ascii="Times New Roman" w:hAnsi="Times New Roman"/>
          <w:sz w:val="24"/>
          <w:szCs w:val="24"/>
        </w:rPr>
        <w:lastRenderedPageBreak/>
        <w:t>реализации соответствующих решений в сфере налоговой, бюджетной и долговой политики обеспечить необходимый уровень сбалансированности бюджета</w:t>
      </w:r>
      <w:r w:rsidR="004A13DB">
        <w:rPr>
          <w:rFonts w:ascii="Times New Roman" w:hAnsi="Times New Roman"/>
          <w:sz w:val="24"/>
          <w:szCs w:val="24"/>
        </w:rPr>
        <w:t>,</w:t>
      </w:r>
      <w:r w:rsidR="00F04510">
        <w:rPr>
          <w:rFonts w:ascii="Times New Roman" w:hAnsi="Times New Roman"/>
          <w:sz w:val="24"/>
          <w:szCs w:val="24"/>
        </w:rPr>
        <w:t xml:space="preserve"> </w:t>
      </w:r>
      <w:r w:rsidR="004A13DB">
        <w:rPr>
          <w:rFonts w:ascii="Times New Roman" w:hAnsi="Times New Roman"/>
          <w:sz w:val="24"/>
          <w:szCs w:val="24"/>
        </w:rPr>
        <w:t xml:space="preserve"> решения стратегических задач муниципального образования «Город Воткинск»</w:t>
      </w:r>
      <w:r w:rsidR="00F04510">
        <w:rPr>
          <w:rFonts w:ascii="Times New Roman" w:hAnsi="Times New Roman"/>
          <w:sz w:val="24"/>
          <w:szCs w:val="24"/>
        </w:rPr>
        <w:t xml:space="preserve"> с целью</w:t>
      </w:r>
      <w:r w:rsidR="00F04510" w:rsidRPr="00134D7C">
        <w:rPr>
          <w:rFonts w:ascii="Times New Roman" w:hAnsi="Times New Roman"/>
          <w:sz w:val="24"/>
          <w:szCs w:val="24"/>
        </w:rPr>
        <w:t xml:space="preserve"> достижение</w:t>
      </w:r>
      <w:r w:rsidR="006A2F62">
        <w:rPr>
          <w:rFonts w:ascii="Times New Roman" w:hAnsi="Times New Roman"/>
          <w:sz w:val="24"/>
          <w:szCs w:val="24"/>
        </w:rPr>
        <w:t xml:space="preserve"> показателей</w:t>
      </w:r>
      <w:r w:rsidR="00F04510" w:rsidRPr="00134D7C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r w:rsidR="007433BE">
        <w:rPr>
          <w:rFonts w:ascii="Times New Roman" w:hAnsi="Times New Roman"/>
          <w:sz w:val="24"/>
          <w:szCs w:val="24"/>
        </w:rPr>
        <w:t xml:space="preserve"> города</w:t>
      </w:r>
      <w:r w:rsidRPr="00134D7C">
        <w:rPr>
          <w:rFonts w:ascii="Times New Roman" w:hAnsi="Times New Roman"/>
          <w:sz w:val="24"/>
          <w:szCs w:val="24"/>
        </w:rPr>
        <w:t>.</w:t>
      </w:r>
    </w:p>
    <w:p w:rsidR="00E56A3D" w:rsidRPr="00134D7C" w:rsidRDefault="00E56A3D" w:rsidP="00077F8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Достижение указанной цели обеспечивается посредством решения следующих задач:</w:t>
      </w:r>
    </w:p>
    <w:p w:rsidR="00E56A3D" w:rsidRPr="00134D7C" w:rsidRDefault="00E56A3D" w:rsidP="00077F8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</w:t>
      </w:r>
      <w:r w:rsidR="00F24D9C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>;</w:t>
      </w:r>
    </w:p>
    <w:p w:rsidR="00E56A3D" w:rsidRPr="00134D7C" w:rsidRDefault="00E56A3D" w:rsidP="00A63293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разработк</w:t>
      </w:r>
      <w:r w:rsidR="00335BC0">
        <w:rPr>
          <w:rFonts w:ascii="Times New Roman" w:hAnsi="Times New Roman"/>
          <w:sz w:val="24"/>
          <w:szCs w:val="24"/>
        </w:rPr>
        <w:t>и</w:t>
      </w:r>
      <w:r w:rsidRPr="00134D7C">
        <w:rPr>
          <w:rFonts w:ascii="Times New Roman" w:hAnsi="Times New Roman"/>
          <w:sz w:val="24"/>
          <w:szCs w:val="24"/>
        </w:rPr>
        <w:t xml:space="preserve"> достоверных прогнозов основных характеристик бюджета </w:t>
      </w:r>
      <w:r w:rsidR="00105244">
        <w:rPr>
          <w:rFonts w:ascii="Times New Roman" w:hAnsi="Times New Roman"/>
          <w:sz w:val="24"/>
          <w:szCs w:val="24"/>
        </w:rPr>
        <w:t xml:space="preserve">муниципального образования «Город Воткинск» </w:t>
      </w:r>
      <w:r w:rsidRPr="00134D7C">
        <w:rPr>
          <w:rFonts w:ascii="Times New Roman" w:hAnsi="Times New Roman"/>
          <w:sz w:val="24"/>
          <w:szCs w:val="24"/>
        </w:rPr>
        <w:t xml:space="preserve">и иных показателей, характеризующих состояние, основные риски и угрозы сбалансированности бюджета </w:t>
      </w:r>
      <w:r w:rsidR="00F24D9C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>;</w:t>
      </w:r>
    </w:p>
    <w:p w:rsidR="00E56A3D" w:rsidRPr="00134D7C" w:rsidRDefault="00335BC0" w:rsidP="00A63293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выработки</w:t>
      </w:r>
      <w:r w:rsidR="00E56A3D" w:rsidRPr="00134D7C">
        <w:rPr>
          <w:rFonts w:ascii="Times New Roman" w:hAnsi="Times New Roman"/>
          <w:sz w:val="24"/>
          <w:szCs w:val="24"/>
        </w:rPr>
        <w:t xml:space="preserve">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</w:t>
      </w:r>
      <w:r w:rsidR="00D31123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="00594724">
        <w:rPr>
          <w:rFonts w:ascii="Times New Roman" w:hAnsi="Times New Roman"/>
          <w:sz w:val="24"/>
          <w:szCs w:val="24"/>
        </w:rPr>
        <w:t xml:space="preserve"> </w:t>
      </w:r>
      <w:r w:rsidR="00E56A3D" w:rsidRPr="00134D7C">
        <w:rPr>
          <w:rFonts w:ascii="Times New Roman" w:hAnsi="Times New Roman"/>
          <w:sz w:val="24"/>
          <w:szCs w:val="24"/>
        </w:rPr>
        <w:t>в долгосрочном периоде;</w:t>
      </w:r>
    </w:p>
    <w:p w:rsidR="00E56A3D" w:rsidRPr="00134D7C" w:rsidRDefault="00335BC0" w:rsidP="00A63293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</w:t>
      </w:r>
      <w:r w:rsidR="00E56A3D" w:rsidRPr="00134D7C">
        <w:rPr>
          <w:rFonts w:ascii="Times New Roman" w:hAnsi="Times New Roman"/>
          <w:sz w:val="24"/>
          <w:szCs w:val="24"/>
        </w:rPr>
        <w:t xml:space="preserve"> прозрачности и предсказуемости параметров бюджета </w:t>
      </w:r>
      <w:r w:rsidR="001D475B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="00E56A3D" w:rsidRPr="00134D7C">
        <w:rPr>
          <w:rFonts w:ascii="Times New Roman" w:hAnsi="Times New Roman"/>
          <w:sz w:val="24"/>
          <w:szCs w:val="24"/>
        </w:rPr>
        <w:t>, базовых принципов и условий реализации  бюджетной и долговой политики;</w:t>
      </w:r>
    </w:p>
    <w:p w:rsidR="00E56A3D" w:rsidRPr="00134D7C" w:rsidRDefault="00335BC0" w:rsidP="00A63293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</w:t>
      </w:r>
      <w:r w:rsidR="00E56A3D" w:rsidRPr="00134D7C">
        <w:rPr>
          <w:rFonts w:ascii="Times New Roman" w:hAnsi="Times New Roman"/>
          <w:sz w:val="24"/>
          <w:szCs w:val="24"/>
        </w:rPr>
        <w:t xml:space="preserve"> бюджетных рисков для бюджета </w:t>
      </w:r>
      <w:r w:rsidR="00A63293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="00E56A3D" w:rsidRPr="00134D7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6A3D" w:rsidRPr="00134D7C">
        <w:rPr>
          <w:rFonts w:ascii="Times New Roman" w:hAnsi="Times New Roman"/>
          <w:sz w:val="24"/>
          <w:szCs w:val="24"/>
        </w:rPr>
        <w:t>обеспечиваемая</w:t>
      </w:r>
      <w:proofErr w:type="gramEnd"/>
      <w:r w:rsidR="00E56A3D" w:rsidRPr="00134D7C">
        <w:rPr>
          <w:rFonts w:ascii="Times New Roman" w:hAnsi="Times New Roman"/>
          <w:sz w:val="24"/>
          <w:szCs w:val="24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E56A3D" w:rsidRPr="00134D7C" w:rsidRDefault="00335BC0" w:rsidP="00A63293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</w:t>
      </w:r>
      <w:r w:rsidR="00E56A3D" w:rsidRPr="00134D7C">
        <w:rPr>
          <w:rFonts w:ascii="Times New Roman" w:hAnsi="Times New Roman"/>
          <w:sz w:val="24"/>
          <w:szCs w:val="24"/>
        </w:rPr>
        <w:t xml:space="preserve"> объемов долгосрочных финансовых обязательств, включая показатели финансового обеспечения </w:t>
      </w:r>
      <w:r w:rsidR="00A63293">
        <w:rPr>
          <w:rFonts w:ascii="Times New Roman" w:hAnsi="Times New Roman"/>
          <w:sz w:val="24"/>
          <w:szCs w:val="24"/>
        </w:rPr>
        <w:t>муниципальных программ муниципального образования «Город Воткинск»</w:t>
      </w:r>
      <w:r w:rsidR="00E56A3D" w:rsidRPr="00134D7C">
        <w:rPr>
          <w:rFonts w:ascii="Times New Roman" w:hAnsi="Times New Roman"/>
          <w:sz w:val="24"/>
          <w:szCs w:val="24"/>
        </w:rPr>
        <w:t xml:space="preserve"> на период их действия.</w:t>
      </w:r>
    </w:p>
    <w:p w:rsidR="00E56A3D" w:rsidRPr="00134D7C" w:rsidRDefault="00E56A3D" w:rsidP="00721E09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Решение указанных задач обеспечивается в рамках комплексного подхода, включающего в себя:</w:t>
      </w:r>
    </w:p>
    <w:p w:rsidR="00E56A3D" w:rsidRPr="00134D7C" w:rsidRDefault="00E56A3D" w:rsidP="00721E09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обеспечение взаимного соответствия и координации Бюджетного прогноза с другими документами  стратегического планирования, в первую очередь – с прогнозом социально-экономического развития </w:t>
      </w:r>
      <w:r w:rsidR="00721E09">
        <w:rPr>
          <w:rFonts w:ascii="Times New Roman" w:hAnsi="Times New Roman"/>
          <w:sz w:val="24"/>
          <w:szCs w:val="24"/>
        </w:rPr>
        <w:t xml:space="preserve">муниципального образования «Город Воткинск» </w:t>
      </w:r>
      <w:r w:rsidRPr="00134D7C">
        <w:rPr>
          <w:rFonts w:ascii="Times New Roman" w:hAnsi="Times New Roman"/>
          <w:sz w:val="24"/>
          <w:szCs w:val="24"/>
        </w:rPr>
        <w:t xml:space="preserve">на долгосрочный период и </w:t>
      </w:r>
      <w:r w:rsidR="00721E09">
        <w:rPr>
          <w:rFonts w:ascii="Times New Roman" w:hAnsi="Times New Roman"/>
          <w:sz w:val="24"/>
          <w:szCs w:val="24"/>
        </w:rPr>
        <w:t>муниципальными</w:t>
      </w:r>
      <w:r w:rsidRPr="00134D7C">
        <w:rPr>
          <w:rFonts w:ascii="Times New Roman" w:hAnsi="Times New Roman"/>
          <w:sz w:val="24"/>
          <w:szCs w:val="24"/>
        </w:rPr>
        <w:t xml:space="preserve"> программами </w:t>
      </w:r>
      <w:r w:rsidR="00721E09">
        <w:rPr>
          <w:rFonts w:ascii="Times New Roman" w:hAnsi="Times New Roman"/>
          <w:sz w:val="24"/>
          <w:szCs w:val="24"/>
        </w:rPr>
        <w:t>города</w:t>
      </w:r>
      <w:r w:rsidRPr="00134D7C">
        <w:rPr>
          <w:rFonts w:ascii="Times New Roman" w:hAnsi="Times New Roman"/>
          <w:sz w:val="24"/>
          <w:szCs w:val="24"/>
        </w:rPr>
        <w:t>;</w:t>
      </w:r>
    </w:p>
    <w:p w:rsidR="00E56A3D" w:rsidRPr="00134D7C" w:rsidRDefault="00E56A3D" w:rsidP="004C27A1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систематизацию и регулярный учет основных бюджетных и макроэкономических рисков;</w:t>
      </w:r>
    </w:p>
    <w:p w:rsidR="00E56A3D" w:rsidRPr="00134D7C" w:rsidRDefault="00E56A3D" w:rsidP="004C27A1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использование в целях долгосрочного бюджетного прогнозирования и </w:t>
      </w:r>
      <w:proofErr w:type="gramStart"/>
      <w:r w:rsidRPr="00134D7C">
        <w:rPr>
          <w:rFonts w:ascii="Times New Roman" w:hAnsi="Times New Roman"/>
          <w:sz w:val="24"/>
          <w:szCs w:val="24"/>
        </w:rPr>
        <w:t>планирования</w:t>
      </w:r>
      <w:proofErr w:type="gramEnd"/>
      <w:r w:rsidRPr="00134D7C">
        <w:rPr>
          <w:rFonts w:ascii="Times New Roman" w:hAnsi="Times New Roman"/>
          <w:sz w:val="24"/>
          <w:szCs w:val="24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r w:rsidR="004C27A1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>.</w:t>
      </w:r>
    </w:p>
    <w:p w:rsidR="00E56A3D" w:rsidRPr="00134D7C" w:rsidRDefault="00E56A3D" w:rsidP="00E56A3D">
      <w:pPr>
        <w:tabs>
          <w:tab w:val="left" w:pos="1134"/>
          <w:tab w:val="num" w:pos="24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В процессе разработки Бюджетного прогноза </w:t>
      </w:r>
      <w:r w:rsidR="00246593">
        <w:rPr>
          <w:rFonts w:ascii="Times New Roman" w:hAnsi="Times New Roman"/>
          <w:sz w:val="24"/>
          <w:szCs w:val="24"/>
        </w:rPr>
        <w:t xml:space="preserve">учтены </w:t>
      </w:r>
      <w:r w:rsidRPr="00134D7C">
        <w:rPr>
          <w:rFonts w:ascii="Times New Roman" w:hAnsi="Times New Roman"/>
          <w:sz w:val="24"/>
          <w:szCs w:val="24"/>
        </w:rPr>
        <w:t>показатели  долгосрочного прогноза социально-экономического развития Российской Федерации</w:t>
      </w:r>
      <w:r w:rsidR="00335BC0">
        <w:rPr>
          <w:rFonts w:ascii="Times New Roman" w:hAnsi="Times New Roman"/>
          <w:sz w:val="24"/>
          <w:szCs w:val="24"/>
        </w:rPr>
        <w:t xml:space="preserve">, Удмуртской Республики </w:t>
      </w:r>
      <w:r w:rsidRPr="00134D7C">
        <w:rPr>
          <w:rFonts w:ascii="Times New Roman" w:hAnsi="Times New Roman"/>
          <w:sz w:val="24"/>
          <w:szCs w:val="24"/>
        </w:rPr>
        <w:t xml:space="preserve"> на период до 20</w:t>
      </w:r>
      <w:r w:rsidR="00246593">
        <w:rPr>
          <w:rFonts w:ascii="Times New Roman" w:hAnsi="Times New Roman"/>
          <w:sz w:val="24"/>
          <w:szCs w:val="24"/>
        </w:rPr>
        <w:t>25</w:t>
      </w:r>
      <w:r w:rsidRPr="00134D7C">
        <w:rPr>
          <w:rFonts w:ascii="Times New Roman" w:hAnsi="Times New Roman"/>
          <w:sz w:val="24"/>
          <w:szCs w:val="24"/>
        </w:rPr>
        <w:t xml:space="preserve"> года.</w:t>
      </w:r>
    </w:p>
    <w:p w:rsidR="00E56A3D" w:rsidRDefault="00200E33" w:rsidP="003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E56A3D" w:rsidRPr="00134D7C">
        <w:rPr>
          <w:rFonts w:ascii="Times New Roman" w:hAnsi="Times New Roman"/>
          <w:b/>
          <w:sz w:val="24"/>
          <w:szCs w:val="24"/>
        </w:rPr>
        <w:t>юджетн</w:t>
      </w:r>
      <w:r>
        <w:rPr>
          <w:rFonts w:ascii="Times New Roman" w:hAnsi="Times New Roman"/>
          <w:b/>
          <w:sz w:val="24"/>
          <w:szCs w:val="24"/>
        </w:rPr>
        <w:t>ый</w:t>
      </w:r>
      <w:r w:rsidR="00E56A3D" w:rsidRPr="00134D7C">
        <w:rPr>
          <w:rFonts w:ascii="Times New Roman" w:hAnsi="Times New Roman"/>
          <w:b/>
          <w:sz w:val="24"/>
          <w:szCs w:val="24"/>
        </w:rPr>
        <w:t xml:space="preserve"> прогноз</w:t>
      </w:r>
      <w:r w:rsidR="00E56A3D" w:rsidRPr="00134D7C">
        <w:rPr>
          <w:rFonts w:ascii="Times New Roman" w:hAnsi="Times New Roman"/>
          <w:sz w:val="24"/>
          <w:szCs w:val="24"/>
        </w:rPr>
        <w:t xml:space="preserve"> основан на </w:t>
      </w:r>
      <w:r>
        <w:rPr>
          <w:rFonts w:ascii="Times New Roman" w:hAnsi="Times New Roman"/>
          <w:sz w:val="24"/>
          <w:szCs w:val="24"/>
        </w:rPr>
        <w:t>решении</w:t>
      </w:r>
      <w:r w:rsidR="00E56A3D" w:rsidRPr="00134D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Воткинс</w:t>
      </w:r>
      <w:r w:rsidR="0059472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</w:t>
      </w:r>
      <w:r w:rsidR="00E56A3D" w:rsidRPr="00134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12.12.2018 №</w:t>
      </w:r>
      <w:r w:rsidR="00C32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359-РН </w:t>
      </w:r>
      <w:r w:rsidR="00E56A3D" w:rsidRPr="00134D7C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Б</w:t>
      </w:r>
      <w:r w:rsidR="00E56A3D" w:rsidRPr="00134D7C">
        <w:rPr>
          <w:rFonts w:ascii="Times New Roman" w:hAnsi="Times New Roman"/>
          <w:sz w:val="24"/>
          <w:szCs w:val="24"/>
        </w:rPr>
        <w:t xml:space="preserve">юджете </w:t>
      </w:r>
      <w:r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="00E56A3D" w:rsidRPr="00134D7C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="00E56A3D" w:rsidRPr="00134D7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="00E56A3D" w:rsidRPr="00134D7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E56A3D" w:rsidRPr="00134D7C">
        <w:rPr>
          <w:rFonts w:ascii="Times New Roman" w:hAnsi="Times New Roman"/>
          <w:sz w:val="24"/>
          <w:szCs w:val="24"/>
        </w:rPr>
        <w:t>1 годов»</w:t>
      </w:r>
      <w:r w:rsidR="00331B9F">
        <w:rPr>
          <w:rFonts w:ascii="Times New Roman" w:hAnsi="Times New Roman"/>
          <w:sz w:val="24"/>
          <w:szCs w:val="24"/>
        </w:rPr>
        <w:t xml:space="preserve"> (далее решение о Бюджете).</w:t>
      </w:r>
      <w:r w:rsidR="00E56A3D" w:rsidRPr="00134D7C">
        <w:rPr>
          <w:rFonts w:ascii="Times New Roman" w:hAnsi="Times New Roman"/>
          <w:sz w:val="24"/>
          <w:szCs w:val="24"/>
        </w:rPr>
        <w:t xml:space="preserve"> </w:t>
      </w:r>
    </w:p>
    <w:p w:rsidR="00F0232C" w:rsidRPr="00F0232C" w:rsidRDefault="00331B9F" w:rsidP="00F02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основных характеристик Бюджета муниципального образования «Город Воткинск» и показатели муниципальных программ </w:t>
      </w:r>
      <w:r w:rsidR="00F53F9D">
        <w:rPr>
          <w:rFonts w:ascii="Times New Roman" w:hAnsi="Times New Roman"/>
          <w:sz w:val="24"/>
          <w:szCs w:val="24"/>
        </w:rPr>
        <w:t xml:space="preserve"> 2018 года и планового периода 2019-2021 гг. </w:t>
      </w:r>
      <w:r>
        <w:rPr>
          <w:rFonts w:ascii="Times New Roman" w:hAnsi="Times New Roman"/>
          <w:sz w:val="24"/>
          <w:szCs w:val="24"/>
        </w:rPr>
        <w:t>соответствуют решению о Бюджете</w:t>
      </w:r>
      <w:r w:rsidR="00594724">
        <w:rPr>
          <w:rFonts w:ascii="Times New Roman" w:hAnsi="Times New Roman"/>
          <w:sz w:val="24"/>
          <w:szCs w:val="24"/>
        </w:rPr>
        <w:t>.</w:t>
      </w:r>
      <w:r w:rsidR="00F53F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724">
        <w:rPr>
          <w:rFonts w:ascii="Times New Roman" w:hAnsi="Times New Roman"/>
          <w:sz w:val="24"/>
          <w:szCs w:val="24"/>
        </w:rPr>
        <w:t>Н</w:t>
      </w:r>
      <w:r w:rsidR="00F53F9D">
        <w:rPr>
          <w:rFonts w:ascii="Times New Roman" w:hAnsi="Times New Roman"/>
          <w:sz w:val="24"/>
          <w:szCs w:val="24"/>
        </w:rPr>
        <w:t>ачиная с 202</w:t>
      </w:r>
      <w:r w:rsidR="0037257F">
        <w:rPr>
          <w:rFonts w:ascii="Times New Roman" w:hAnsi="Times New Roman"/>
          <w:sz w:val="24"/>
          <w:szCs w:val="24"/>
        </w:rPr>
        <w:t>2</w:t>
      </w:r>
      <w:r w:rsidR="00F53F9D">
        <w:rPr>
          <w:rFonts w:ascii="Times New Roman" w:hAnsi="Times New Roman"/>
          <w:sz w:val="24"/>
          <w:szCs w:val="24"/>
        </w:rPr>
        <w:t xml:space="preserve"> года расчет основных характеристик Бюджета и показатели финансового обеспечения муниципальных программ произведены</w:t>
      </w:r>
      <w:proofErr w:type="gramEnd"/>
      <w:r w:rsidR="00F53F9D">
        <w:rPr>
          <w:rFonts w:ascii="Times New Roman" w:hAnsi="Times New Roman"/>
          <w:sz w:val="24"/>
          <w:szCs w:val="24"/>
        </w:rPr>
        <w:t xml:space="preserve"> с учетом показателей прогноза социально-экономического развития муниципального образования «Город Воткинск» на долгосрочный период</w:t>
      </w:r>
      <w:r w:rsidR="00F0232C" w:rsidRPr="00F0232C">
        <w:rPr>
          <w:rFonts w:ascii="Times New Roman" w:hAnsi="Times New Roman"/>
          <w:sz w:val="24"/>
          <w:szCs w:val="24"/>
        </w:rPr>
        <w:t xml:space="preserve"> </w:t>
      </w:r>
      <w:r w:rsidR="00F0232C" w:rsidRPr="00F0232C">
        <w:rPr>
          <w:rFonts w:ascii="Times New Roman" w:hAnsi="Times New Roman"/>
          <w:b/>
          <w:sz w:val="24"/>
          <w:szCs w:val="24"/>
        </w:rPr>
        <w:t>с ростом 0,7 процента.</w:t>
      </w:r>
    </w:p>
    <w:p w:rsidR="00CF7F12" w:rsidRPr="00C74AC4" w:rsidRDefault="00CF7F12" w:rsidP="00CF7F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AC4">
        <w:rPr>
          <w:rFonts w:ascii="Times New Roman" w:hAnsi="Times New Roman" w:cs="Times New Roman"/>
          <w:sz w:val="24"/>
          <w:szCs w:val="24"/>
        </w:rPr>
        <w:lastRenderedPageBreak/>
        <w:t>Бюджетный про</w:t>
      </w:r>
      <w:r w:rsidR="006C56FD" w:rsidRPr="00C74AC4">
        <w:rPr>
          <w:rFonts w:ascii="Times New Roman" w:hAnsi="Times New Roman" w:cs="Times New Roman"/>
          <w:sz w:val="24"/>
          <w:szCs w:val="24"/>
        </w:rPr>
        <w:t>гноз</w:t>
      </w:r>
      <w:r w:rsidRPr="00C74AC4">
        <w:rPr>
          <w:rFonts w:ascii="Times New Roman" w:hAnsi="Times New Roman" w:cs="Times New Roman"/>
          <w:sz w:val="24"/>
          <w:szCs w:val="24"/>
        </w:rPr>
        <w:t xml:space="preserve"> составлен на основе и с учетом муниципальных программ, то есть с учетом объемов финансового обеспечения и достижения приоритетных целей и задач социально-экономического развития города.</w:t>
      </w:r>
    </w:p>
    <w:p w:rsidR="00CF7F12" w:rsidRDefault="00CF7F12" w:rsidP="003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0E1" w:rsidRDefault="001830E1" w:rsidP="003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Проводимые мероприятия основаны на внутренних ресурсах по выявлению резервов налоговых поступлений, администрированию доходов, повышению эффективности использования муниципального имущества, сокращению неэффективных расходов и оптимизации сети бюджетных учреждений и расходов потребления топливно-энергетических ресурсов.</w:t>
      </w:r>
    </w:p>
    <w:p w:rsidR="00B24617" w:rsidRDefault="00B24617" w:rsidP="00BB2A7B">
      <w:pPr>
        <w:pStyle w:val="a6"/>
        <w:ind w:firstLine="426"/>
        <w:rPr>
          <w:sz w:val="24"/>
          <w:szCs w:val="24"/>
        </w:rPr>
      </w:pPr>
    </w:p>
    <w:p w:rsidR="00BB2A7B" w:rsidRDefault="00BB2A7B" w:rsidP="00B24617">
      <w:pPr>
        <w:pStyle w:val="a6"/>
        <w:ind w:firstLine="426"/>
        <w:jc w:val="center"/>
        <w:rPr>
          <w:b/>
          <w:sz w:val="24"/>
          <w:szCs w:val="24"/>
        </w:rPr>
      </w:pPr>
      <w:r w:rsidRPr="006C72B9">
        <w:rPr>
          <w:b/>
          <w:sz w:val="24"/>
          <w:szCs w:val="24"/>
        </w:rPr>
        <w:t>Бюджет    муниципального образования «Город Воткинск»</w:t>
      </w:r>
    </w:p>
    <w:p w:rsidR="00B24617" w:rsidRDefault="00B24617" w:rsidP="00BB2A7B">
      <w:pPr>
        <w:pStyle w:val="a6"/>
        <w:ind w:firstLine="426"/>
        <w:rPr>
          <w:b/>
          <w:sz w:val="24"/>
          <w:szCs w:val="24"/>
        </w:rPr>
      </w:pPr>
    </w:p>
    <w:p w:rsidR="00683B8F" w:rsidRDefault="00683B8F" w:rsidP="00BB2A7B">
      <w:pPr>
        <w:pStyle w:val="a6"/>
        <w:ind w:firstLine="426"/>
        <w:rPr>
          <w:b/>
          <w:sz w:val="24"/>
          <w:szCs w:val="24"/>
        </w:rPr>
      </w:pPr>
    </w:p>
    <w:p w:rsidR="00BB2A7B" w:rsidRPr="00E8606D" w:rsidRDefault="00D05F33" w:rsidP="00BB2A7B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="00BB2A7B" w:rsidRPr="00E8606D">
        <w:rPr>
          <w:sz w:val="24"/>
          <w:szCs w:val="24"/>
        </w:rPr>
        <w:t>п</w:t>
      </w:r>
      <w:r w:rsidR="00BB2A7B">
        <w:rPr>
          <w:sz w:val="24"/>
          <w:szCs w:val="24"/>
        </w:rPr>
        <w:t>о собственным доходам исполнен</w:t>
      </w:r>
      <w:r w:rsidR="00960582">
        <w:rPr>
          <w:sz w:val="24"/>
          <w:szCs w:val="24"/>
        </w:rPr>
        <w:t xml:space="preserve"> за 2018 год</w:t>
      </w:r>
      <w:r w:rsidR="00BB2A7B">
        <w:rPr>
          <w:sz w:val="24"/>
          <w:szCs w:val="24"/>
        </w:rPr>
        <w:t xml:space="preserve"> </w:t>
      </w:r>
      <w:r w:rsidR="00BB2A7B" w:rsidRPr="00E8606D">
        <w:rPr>
          <w:sz w:val="24"/>
          <w:szCs w:val="24"/>
        </w:rPr>
        <w:t>к</w:t>
      </w:r>
      <w:r w:rsidR="00BB2A7B">
        <w:rPr>
          <w:sz w:val="24"/>
          <w:szCs w:val="24"/>
        </w:rPr>
        <w:t xml:space="preserve">  уточненному годовому плану на 102,9 %, </w:t>
      </w:r>
      <w:r w:rsidR="00BB2A7B" w:rsidRPr="00E8606D">
        <w:rPr>
          <w:sz w:val="24"/>
          <w:szCs w:val="24"/>
        </w:rPr>
        <w:t xml:space="preserve">поступило </w:t>
      </w:r>
      <w:r w:rsidR="00BB2A7B">
        <w:rPr>
          <w:sz w:val="24"/>
          <w:szCs w:val="24"/>
        </w:rPr>
        <w:t>562 274,8 т</w:t>
      </w:r>
      <w:r w:rsidR="00BB2A7B" w:rsidRPr="00E8606D">
        <w:rPr>
          <w:sz w:val="24"/>
          <w:szCs w:val="24"/>
        </w:rPr>
        <w:t>ыс. руб</w:t>
      </w:r>
      <w:r w:rsidR="00BB2A7B">
        <w:rPr>
          <w:sz w:val="24"/>
          <w:szCs w:val="24"/>
        </w:rPr>
        <w:t>лей</w:t>
      </w:r>
      <w:r w:rsidR="00BB2A7B" w:rsidRPr="00E8606D">
        <w:rPr>
          <w:sz w:val="24"/>
          <w:szCs w:val="24"/>
        </w:rPr>
        <w:t xml:space="preserve">. </w:t>
      </w:r>
    </w:p>
    <w:p w:rsidR="00BB2A7B" w:rsidRDefault="00BB2A7B" w:rsidP="00BB2A7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606D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 xml:space="preserve"> динамики</w:t>
      </w:r>
      <w:r w:rsidRPr="00E8606D">
        <w:rPr>
          <w:sz w:val="24"/>
          <w:szCs w:val="24"/>
        </w:rPr>
        <w:t xml:space="preserve"> доходов городского бюджета по годам</w:t>
      </w:r>
      <w:r>
        <w:rPr>
          <w:sz w:val="24"/>
          <w:szCs w:val="24"/>
        </w:rPr>
        <w:t xml:space="preserve"> </w:t>
      </w:r>
      <w:r w:rsidRPr="00E8606D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</w:t>
      </w:r>
      <w:r w:rsidRPr="00E8606D">
        <w:rPr>
          <w:sz w:val="24"/>
          <w:szCs w:val="24"/>
        </w:rPr>
        <w:t>, что  доходная часть бюджета за</w:t>
      </w:r>
      <w:r>
        <w:rPr>
          <w:sz w:val="24"/>
          <w:szCs w:val="24"/>
        </w:rPr>
        <w:t xml:space="preserve">  </w:t>
      </w:r>
      <w:r w:rsidRPr="00E8606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8606D">
        <w:rPr>
          <w:sz w:val="24"/>
          <w:szCs w:val="24"/>
        </w:rPr>
        <w:t xml:space="preserve"> год </w:t>
      </w:r>
      <w:r>
        <w:rPr>
          <w:sz w:val="24"/>
          <w:szCs w:val="24"/>
        </w:rPr>
        <w:t>по сравнению с соответствующим периодом прошлого года увеличена</w:t>
      </w:r>
      <w:r w:rsidRPr="00E8606D">
        <w:rPr>
          <w:sz w:val="24"/>
          <w:szCs w:val="24"/>
        </w:rPr>
        <w:t xml:space="preserve"> </w:t>
      </w:r>
      <w:r w:rsidRPr="007A6255">
        <w:rPr>
          <w:sz w:val="24"/>
          <w:szCs w:val="24"/>
        </w:rPr>
        <w:t xml:space="preserve">на  </w:t>
      </w:r>
      <w:r>
        <w:rPr>
          <w:sz w:val="24"/>
          <w:szCs w:val="24"/>
        </w:rPr>
        <w:t xml:space="preserve">12,3 </w:t>
      </w:r>
      <w:r w:rsidRPr="00E8606D">
        <w:rPr>
          <w:sz w:val="24"/>
          <w:szCs w:val="24"/>
        </w:rPr>
        <w:t>%, в абсолютной  сумме</w:t>
      </w:r>
      <w:r>
        <w:rPr>
          <w:sz w:val="24"/>
          <w:szCs w:val="24"/>
        </w:rPr>
        <w:t xml:space="preserve"> на  61 565,2 </w:t>
      </w:r>
      <w:r w:rsidRPr="00A116B4">
        <w:rPr>
          <w:sz w:val="24"/>
          <w:szCs w:val="24"/>
        </w:rPr>
        <w:t>тыс.</w:t>
      </w:r>
      <w:r w:rsidRPr="00E8606D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E8606D">
        <w:rPr>
          <w:sz w:val="24"/>
          <w:szCs w:val="24"/>
        </w:rPr>
        <w:t xml:space="preserve">. </w:t>
      </w:r>
    </w:p>
    <w:p w:rsidR="00BB2A7B" w:rsidRPr="00E8606D" w:rsidRDefault="00BB2A7B" w:rsidP="00BB2A7B">
      <w:pPr>
        <w:pStyle w:val="a6"/>
        <w:ind w:firstLine="0"/>
        <w:rPr>
          <w:sz w:val="24"/>
          <w:szCs w:val="24"/>
        </w:rPr>
      </w:pPr>
      <w:r w:rsidRPr="00E8606D">
        <w:rPr>
          <w:sz w:val="24"/>
          <w:szCs w:val="24"/>
        </w:rPr>
        <w:t xml:space="preserve">        В структуре фактического исполнения собственных доходов удельный вес налоговых доходов составил </w:t>
      </w:r>
      <w:r>
        <w:rPr>
          <w:sz w:val="24"/>
          <w:szCs w:val="24"/>
        </w:rPr>
        <w:t xml:space="preserve">86,4 </w:t>
      </w:r>
      <w:r w:rsidRPr="00E8606D">
        <w:rPr>
          <w:sz w:val="24"/>
          <w:szCs w:val="24"/>
        </w:rPr>
        <w:t xml:space="preserve">%, неналоговых доходов </w:t>
      </w:r>
      <w:r>
        <w:rPr>
          <w:sz w:val="24"/>
          <w:szCs w:val="24"/>
        </w:rPr>
        <w:t>13,6 %.</w:t>
      </w:r>
    </w:p>
    <w:p w:rsidR="00BB2A7B" w:rsidRDefault="00BB2A7B" w:rsidP="00BB2A7B">
      <w:pPr>
        <w:pStyle w:val="a6"/>
        <w:ind w:left="142" w:right="-142" w:firstLine="284"/>
        <w:rPr>
          <w:sz w:val="24"/>
          <w:szCs w:val="24"/>
        </w:rPr>
      </w:pPr>
      <w:r w:rsidRPr="00E8606D">
        <w:rPr>
          <w:sz w:val="24"/>
          <w:szCs w:val="24"/>
        </w:rPr>
        <w:t>Налоговые доходы за</w:t>
      </w:r>
      <w:r>
        <w:rPr>
          <w:sz w:val="24"/>
          <w:szCs w:val="24"/>
        </w:rPr>
        <w:t xml:space="preserve">  2</w:t>
      </w:r>
      <w:r w:rsidRPr="00E8606D">
        <w:rPr>
          <w:sz w:val="24"/>
          <w:szCs w:val="24"/>
        </w:rPr>
        <w:t>01</w:t>
      </w:r>
      <w:r>
        <w:rPr>
          <w:sz w:val="24"/>
          <w:szCs w:val="24"/>
        </w:rPr>
        <w:t>8</w:t>
      </w:r>
      <w:r w:rsidRPr="00E8606D">
        <w:rPr>
          <w:sz w:val="24"/>
          <w:szCs w:val="24"/>
        </w:rPr>
        <w:t xml:space="preserve"> год к </w:t>
      </w:r>
      <w:r>
        <w:rPr>
          <w:sz w:val="24"/>
          <w:szCs w:val="24"/>
        </w:rPr>
        <w:t>уровню  2017</w:t>
      </w:r>
      <w:r w:rsidRPr="00E8606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увеличились </w:t>
      </w:r>
      <w:r w:rsidRPr="00E8606D">
        <w:rPr>
          <w:sz w:val="24"/>
          <w:szCs w:val="24"/>
        </w:rPr>
        <w:t>на</w:t>
      </w:r>
      <w:r>
        <w:rPr>
          <w:sz w:val="24"/>
          <w:szCs w:val="24"/>
        </w:rPr>
        <w:t xml:space="preserve"> 54 475,9 тыс. рублей </w:t>
      </w:r>
      <w:r w:rsidRPr="00E8606D">
        <w:rPr>
          <w:sz w:val="24"/>
          <w:szCs w:val="24"/>
        </w:rPr>
        <w:t xml:space="preserve">  или на </w:t>
      </w:r>
      <w:r>
        <w:rPr>
          <w:sz w:val="24"/>
          <w:szCs w:val="24"/>
        </w:rPr>
        <w:t>12,6 %</w:t>
      </w:r>
      <w:r w:rsidRPr="00E8606D">
        <w:rPr>
          <w:sz w:val="24"/>
          <w:szCs w:val="24"/>
        </w:rPr>
        <w:t xml:space="preserve"> и  составили</w:t>
      </w:r>
      <w:r>
        <w:rPr>
          <w:sz w:val="24"/>
          <w:szCs w:val="24"/>
        </w:rPr>
        <w:t xml:space="preserve">  486 016тыс. рублей.</w:t>
      </w:r>
    </w:p>
    <w:p w:rsidR="00BB2A7B" w:rsidRDefault="00BB2A7B" w:rsidP="00185216">
      <w:pPr>
        <w:pStyle w:val="a6"/>
        <w:ind w:left="142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Pr="00E8606D">
        <w:rPr>
          <w:sz w:val="24"/>
          <w:szCs w:val="24"/>
        </w:rPr>
        <w:t xml:space="preserve">еналоговые доходы   поступили  в сумме </w:t>
      </w:r>
      <w:r>
        <w:rPr>
          <w:sz w:val="24"/>
          <w:szCs w:val="24"/>
        </w:rPr>
        <w:t xml:space="preserve">76 258,8 </w:t>
      </w:r>
      <w:r w:rsidRPr="00E8606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E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E8606D">
        <w:rPr>
          <w:sz w:val="24"/>
          <w:szCs w:val="24"/>
        </w:rPr>
        <w:t>в сравнении с</w:t>
      </w:r>
      <w:r>
        <w:rPr>
          <w:sz w:val="24"/>
          <w:szCs w:val="24"/>
        </w:rPr>
        <w:t xml:space="preserve"> соответствующим периодом</w:t>
      </w:r>
      <w:r w:rsidRPr="00E8606D">
        <w:rPr>
          <w:sz w:val="24"/>
          <w:szCs w:val="24"/>
        </w:rPr>
        <w:t xml:space="preserve"> предыдущ</w:t>
      </w:r>
      <w:r>
        <w:rPr>
          <w:sz w:val="24"/>
          <w:szCs w:val="24"/>
        </w:rPr>
        <w:t>его</w:t>
      </w:r>
      <w:r w:rsidRPr="00E8606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8606D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увеличились</w:t>
      </w:r>
      <w:r w:rsidRPr="00E8606D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7 089,3 </w:t>
      </w:r>
      <w:r w:rsidRPr="00E8606D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 или на 10,2%.                                                                                                                                                   </w:t>
      </w:r>
    </w:p>
    <w:p w:rsidR="00BB2A7B" w:rsidRPr="00E8606D" w:rsidRDefault="00BB2A7B" w:rsidP="00BB2A7B">
      <w:pPr>
        <w:pStyle w:val="a6"/>
        <w:ind w:left="142" w:right="-142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B2A7B" w:rsidRPr="00E8606D" w:rsidRDefault="00BB2A7B" w:rsidP="001D5C2D">
      <w:pPr>
        <w:pStyle w:val="a6"/>
        <w:spacing w:line="240" w:lineRule="exact"/>
        <w:jc w:val="center"/>
        <w:rPr>
          <w:sz w:val="24"/>
          <w:szCs w:val="24"/>
        </w:rPr>
      </w:pPr>
      <w:r w:rsidRPr="00E8606D">
        <w:rPr>
          <w:b/>
          <w:sz w:val="24"/>
          <w:szCs w:val="24"/>
        </w:rPr>
        <w:t>Анализ поступлени</w:t>
      </w:r>
      <w:r>
        <w:rPr>
          <w:b/>
          <w:sz w:val="24"/>
          <w:szCs w:val="24"/>
        </w:rPr>
        <w:t>й</w:t>
      </w:r>
      <w:r w:rsidRPr="00E8606D">
        <w:rPr>
          <w:b/>
          <w:sz w:val="24"/>
          <w:szCs w:val="24"/>
        </w:rPr>
        <w:t xml:space="preserve"> собственных доходов за 201</w:t>
      </w:r>
      <w:r>
        <w:rPr>
          <w:b/>
          <w:sz w:val="24"/>
          <w:szCs w:val="24"/>
        </w:rPr>
        <w:t>8</w:t>
      </w:r>
      <w:r w:rsidRPr="00E8606D">
        <w:rPr>
          <w:b/>
          <w:sz w:val="24"/>
          <w:szCs w:val="24"/>
        </w:rPr>
        <w:t xml:space="preserve"> год</w:t>
      </w:r>
    </w:p>
    <w:p w:rsidR="00BB2A7B" w:rsidRPr="00DC2C41" w:rsidRDefault="00BB2A7B" w:rsidP="00BB2A7B">
      <w:pPr>
        <w:pStyle w:val="a6"/>
        <w:spacing w:line="240" w:lineRule="exact"/>
        <w:rPr>
          <w:sz w:val="22"/>
          <w:szCs w:val="22"/>
        </w:rPr>
      </w:pPr>
      <w:r w:rsidRPr="00E8606D">
        <w:rPr>
          <w:sz w:val="24"/>
          <w:szCs w:val="24"/>
        </w:rPr>
        <w:t xml:space="preserve">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5"/>
        <w:gridCol w:w="1138"/>
        <w:gridCol w:w="1276"/>
        <w:gridCol w:w="1134"/>
        <w:gridCol w:w="1134"/>
        <w:gridCol w:w="992"/>
      </w:tblGrid>
      <w:tr w:rsidR="00BB2A7B" w:rsidRPr="00711706" w:rsidTr="006A3F4A">
        <w:tc>
          <w:tcPr>
            <w:tcW w:w="4215" w:type="dxa"/>
            <w:vMerge w:val="restart"/>
          </w:tcPr>
          <w:p w:rsidR="00BB2A7B" w:rsidRPr="00711706" w:rsidRDefault="00BB2A7B" w:rsidP="006A3F4A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7117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4" w:type="dxa"/>
            <w:gridSpan w:val="2"/>
          </w:tcPr>
          <w:p w:rsidR="00BB2A7B" w:rsidRPr="00711706" w:rsidRDefault="00BB2A7B" w:rsidP="006A3F4A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711706">
              <w:rPr>
                <w:b/>
                <w:sz w:val="22"/>
                <w:szCs w:val="22"/>
              </w:rPr>
              <w:t xml:space="preserve"> 2017 год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A7B" w:rsidRPr="00711706" w:rsidRDefault="00BB2A7B" w:rsidP="006A3F4A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71170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b/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Темп роста  2018 к  2017 %</w:t>
            </w:r>
          </w:p>
        </w:tc>
      </w:tr>
      <w:tr w:rsidR="00BB2A7B" w:rsidRPr="00711706" w:rsidTr="006A3F4A">
        <w:tc>
          <w:tcPr>
            <w:tcW w:w="4215" w:type="dxa"/>
            <w:vMerge/>
          </w:tcPr>
          <w:p w:rsidR="00BB2A7B" w:rsidRPr="00711706" w:rsidRDefault="00BB2A7B" w:rsidP="006A3F4A">
            <w:pPr>
              <w:pStyle w:val="a6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Сумма</w:t>
            </w:r>
          </w:p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Удельный вес %</w:t>
            </w:r>
          </w:p>
        </w:tc>
        <w:tc>
          <w:tcPr>
            <w:tcW w:w="1134" w:type="dxa"/>
          </w:tcPr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Сумма</w:t>
            </w:r>
          </w:p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711706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711706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11706">
              <w:rPr>
                <w:sz w:val="22"/>
                <w:szCs w:val="22"/>
              </w:rPr>
              <w:t>Удель</w:t>
            </w:r>
            <w:r>
              <w:rPr>
                <w:sz w:val="22"/>
                <w:szCs w:val="22"/>
              </w:rPr>
              <w:t>-</w:t>
            </w:r>
            <w:r w:rsidRPr="00711706"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711706">
              <w:rPr>
                <w:sz w:val="22"/>
                <w:szCs w:val="22"/>
              </w:rPr>
              <w:t>вес %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B2A7B" w:rsidRPr="00711706" w:rsidRDefault="00BB2A7B" w:rsidP="006A3F4A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A74B22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431 540,1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86,2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486 016,0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310 273,8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337 220,8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74B22">
              <w:rPr>
                <w:sz w:val="22"/>
                <w:szCs w:val="22"/>
              </w:rPr>
              <w:t>кциз</w:t>
            </w:r>
            <w:r>
              <w:rPr>
                <w:sz w:val="22"/>
                <w:szCs w:val="22"/>
              </w:rPr>
              <w:t>ы</w:t>
            </w:r>
            <w:r w:rsidRPr="00A74B22">
              <w:rPr>
                <w:sz w:val="22"/>
                <w:szCs w:val="22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7 423,1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8 746,4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46 189,8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40 566,1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18 974,6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21 648,5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5570D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 w:rsidRPr="005570DB">
              <w:rPr>
                <w:sz w:val="22"/>
                <w:szCs w:val="22"/>
              </w:rPr>
              <w:t>114,1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38 353,7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65 208,1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и, сборы и регулярные платежи за пользование природными ресурсами</w:t>
            </w:r>
            <w:r w:rsidRPr="00A74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10 261,6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12 576,7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отменным налогам и сборам и иным обязательным платежам</w:t>
            </w:r>
          </w:p>
        </w:tc>
        <w:tc>
          <w:tcPr>
            <w:tcW w:w="1138" w:type="dxa"/>
          </w:tcPr>
          <w:p w:rsidR="00BB2A7B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2A7B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A74B22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69 169,5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76 258,8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110,2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41 430,6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8,6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2 698,8</w:t>
            </w:r>
          </w:p>
        </w:tc>
        <w:tc>
          <w:tcPr>
            <w:tcW w:w="1276" w:type="dxa"/>
          </w:tcPr>
          <w:p w:rsidR="00BB2A7B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BB2A7B" w:rsidRPr="0071693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71693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оказания</w:t>
            </w:r>
            <w:r w:rsidRPr="00A74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платных услуг                    (работ) и компенсации </w:t>
            </w:r>
            <w:r w:rsidRPr="00A74B22">
              <w:rPr>
                <w:sz w:val="22"/>
                <w:szCs w:val="22"/>
              </w:rPr>
              <w:t>затрат государства</w:t>
            </w:r>
          </w:p>
        </w:tc>
        <w:tc>
          <w:tcPr>
            <w:tcW w:w="1138" w:type="dxa"/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8 раз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FB2B08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17 473,8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15 560,5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FB2B08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7 419,8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9 978,2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FB2B08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 w:rsidRPr="00A74B22">
              <w:rPr>
                <w:sz w:val="22"/>
                <w:szCs w:val="22"/>
              </w:rPr>
              <w:t xml:space="preserve">Прочие неналоговые доходы бюджетов </w:t>
            </w:r>
            <w:r w:rsidRPr="00A74B22">
              <w:rPr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69,6</w:t>
            </w:r>
          </w:p>
        </w:tc>
        <w:tc>
          <w:tcPr>
            <w:tcW w:w="1276" w:type="dxa"/>
          </w:tcPr>
          <w:p w:rsidR="00BB2A7B" w:rsidRPr="00716932" w:rsidRDefault="00BB2A7B" w:rsidP="006A3F4A">
            <w:pPr>
              <w:pStyle w:val="a6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0,01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71693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2A7B" w:rsidRPr="00A74B22" w:rsidTr="006A3F4A">
        <w:tc>
          <w:tcPr>
            <w:tcW w:w="4215" w:type="dxa"/>
          </w:tcPr>
          <w:p w:rsidR="00BB2A7B" w:rsidRPr="00A74B22" w:rsidRDefault="00BB2A7B" w:rsidP="006A3F4A">
            <w:pPr>
              <w:pStyle w:val="a6"/>
              <w:spacing w:line="240" w:lineRule="exact"/>
              <w:rPr>
                <w:b/>
                <w:sz w:val="22"/>
                <w:szCs w:val="22"/>
              </w:rPr>
            </w:pPr>
            <w:r w:rsidRPr="00A74B22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8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500 709,6</w:t>
            </w:r>
          </w:p>
        </w:tc>
        <w:tc>
          <w:tcPr>
            <w:tcW w:w="1276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 w:rsidRPr="00A74B2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562 274,8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A7B" w:rsidRPr="00A74B22" w:rsidRDefault="00BB2A7B" w:rsidP="006A3F4A">
            <w:pPr>
              <w:pStyle w:val="a6"/>
              <w:spacing w:line="240" w:lineRule="exac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112,3</w:t>
            </w:r>
          </w:p>
        </w:tc>
      </w:tr>
    </w:tbl>
    <w:p w:rsidR="00BB2A7B" w:rsidRPr="00E8606D" w:rsidRDefault="00BB2A7B" w:rsidP="00BB2A7B">
      <w:pPr>
        <w:pStyle w:val="a6"/>
        <w:ind w:left="142" w:righ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8606D">
        <w:rPr>
          <w:sz w:val="24"/>
          <w:szCs w:val="24"/>
        </w:rPr>
        <w:t xml:space="preserve">                                                        </w:t>
      </w:r>
      <w:r w:rsidRPr="00E8606D">
        <w:rPr>
          <w:sz w:val="24"/>
          <w:szCs w:val="24"/>
        </w:rPr>
        <w:tab/>
      </w:r>
    </w:p>
    <w:p w:rsidR="00BB2A7B" w:rsidRPr="00E8606D" w:rsidRDefault="00BB2A7B" w:rsidP="00BB2A7B">
      <w:pPr>
        <w:pStyle w:val="a6"/>
        <w:ind w:left="142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606D">
        <w:rPr>
          <w:sz w:val="24"/>
          <w:szCs w:val="24"/>
        </w:rPr>
        <w:t xml:space="preserve"> Наибольший удельный вес в структуре собственных доходов  </w:t>
      </w:r>
      <w:r>
        <w:rPr>
          <w:sz w:val="24"/>
          <w:szCs w:val="24"/>
        </w:rPr>
        <w:t>60</w:t>
      </w:r>
      <w:r w:rsidRPr="00E8606D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 составляет</w:t>
      </w:r>
      <w:r w:rsidRPr="00E8606D">
        <w:rPr>
          <w:sz w:val="24"/>
          <w:szCs w:val="24"/>
        </w:rPr>
        <w:t xml:space="preserve"> налог на доходы физических лиц, удельный вес </w:t>
      </w:r>
      <w:r w:rsidRPr="007750DE">
        <w:rPr>
          <w:sz w:val="24"/>
          <w:szCs w:val="24"/>
        </w:rPr>
        <w:t>остальных доходов</w:t>
      </w:r>
      <w:r>
        <w:rPr>
          <w:sz w:val="24"/>
          <w:szCs w:val="24"/>
        </w:rPr>
        <w:t xml:space="preserve">  40%. </w:t>
      </w:r>
    </w:p>
    <w:p w:rsidR="00BB2A7B" w:rsidRPr="00FA6C52" w:rsidRDefault="00BB2A7B" w:rsidP="00BB2A7B">
      <w:pPr>
        <w:pStyle w:val="a6"/>
        <w:ind w:left="142" w:righ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A6C52">
        <w:rPr>
          <w:i/>
          <w:sz w:val="24"/>
          <w:szCs w:val="24"/>
        </w:rPr>
        <w:t>За   2018 год достигнут рост поступлений: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C05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налога на доходы физических лиц  на 26 947 тыс. </w:t>
      </w:r>
      <w:r w:rsidRPr="00E8606D">
        <w:rPr>
          <w:sz w:val="24"/>
          <w:szCs w:val="24"/>
        </w:rPr>
        <w:t>руб</w:t>
      </w:r>
      <w:r>
        <w:rPr>
          <w:sz w:val="24"/>
          <w:szCs w:val="24"/>
        </w:rPr>
        <w:t xml:space="preserve">лей, влияние оказали премиальные 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выплаты по результатам  2017 года в январе 2018 года  АО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завод» (поступления в 1 квартале 2017-36 600 тыс. рублей, в 1 квартале 2018-50 227 тыс. рублей) и увеличение заработной платы в связи с повышением минимального </w:t>
      </w:r>
      <w:proofErr w:type="gramStart"/>
      <w:r>
        <w:rPr>
          <w:sz w:val="24"/>
          <w:szCs w:val="24"/>
        </w:rPr>
        <w:t>размера  оплаты труда</w:t>
      </w:r>
      <w:proofErr w:type="gramEnd"/>
      <w:r>
        <w:rPr>
          <w:sz w:val="24"/>
          <w:szCs w:val="24"/>
        </w:rPr>
        <w:t xml:space="preserve"> с  1 января  и 1 мая 2018 года; 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- по акцизам по подакцизным товарам, производимым на территории РФ на 1 323,3 тыс. рублей за счет увеличения дифференцированного норматива отчислений (2017- 0,2159, 2018- 0,2331);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- по налогу на имущество физических лиц на 2 673,9 тыс. рублей в связи с проведенной претензионной работой и увеличением количества строений, помещений и сооружений, по которым предъявлен налог (2017 – 30812 единиц; 2018- 31613 единиц), в том числе: жилых помещений- 340; гаражей-314;</w:t>
      </w:r>
      <w:r w:rsidR="0096058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домов-150 единиц.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- земельного налога на 26 854,4 тыс. рублей  за счет </w:t>
      </w:r>
      <w:r w:rsidRPr="00D379E7">
        <w:rPr>
          <w:sz w:val="24"/>
          <w:szCs w:val="24"/>
        </w:rPr>
        <w:t>увеличени</w:t>
      </w:r>
      <w:r>
        <w:rPr>
          <w:sz w:val="24"/>
          <w:szCs w:val="24"/>
        </w:rPr>
        <w:t>я</w:t>
      </w:r>
      <w:r w:rsidRPr="00D379E7">
        <w:rPr>
          <w:sz w:val="24"/>
          <w:szCs w:val="24"/>
        </w:rPr>
        <w:t xml:space="preserve"> ставок налога в соответствии с Решением </w:t>
      </w:r>
      <w:proofErr w:type="spellStart"/>
      <w:r w:rsidRPr="00D379E7">
        <w:rPr>
          <w:sz w:val="24"/>
          <w:szCs w:val="24"/>
        </w:rPr>
        <w:t>Воткинской</w:t>
      </w:r>
      <w:proofErr w:type="spellEnd"/>
      <w:r w:rsidRPr="00D379E7">
        <w:rPr>
          <w:sz w:val="24"/>
          <w:szCs w:val="24"/>
        </w:rPr>
        <w:t xml:space="preserve"> городской Думы от 04.07.2017 года № 180- РН и отменой льгот муниципальным учреждениям города Воткинска и учреждениям Удмуртской </w:t>
      </w:r>
      <w:r>
        <w:rPr>
          <w:sz w:val="24"/>
          <w:szCs w:val="24"/>
        </w:rPr>
        <w:t>Республики;</w:t>
      </w:r>
    </w:p>
    <w:p w:rsidR="00BB2A7B" w:rsidRPr="0008550F" w:rsidRDefault="00BB2A7B" w:rsidP="00BB2A7B">
      <w:pPr>
        <w:pStyle w:val="a6"/>
        <w:ind w:right="-142" w:firstLine="426"/>
        <w:rPr>
          <w:sz w:val="24"/>
          <w:szCs w:val="24"/>
        </w:rPr>
      </w:pPr>
      <w:r>
        <w:rPr>
          <w:sz w:val="24"/>
          <w:szCs w:val="24"/>
        </w:rPr>
        <w:t xml:space="preserve">- по доходам от оказания платных услуг и компенсации затрат государства на 542 тыс. рублей в связи с </w:t>
      </w:r>
      <w:r w:rsidRPr="006503B0">
        <w:rPr>
          <w:sz w:val="24"/>
          <w:szCs w:val="24"/>
        </w:rPr>
        <w:t>оказанием</w:t>
      </w:r>
      <w:r w:rsidRPr="006503B0">
        <w:rPr>
          <w:color w:val="000000"/>
          <w:sz w:val="18"/>
          <w:szCs w:val="18"/>
        </w:rPr>
        <w:t xml:space="preserve">  </w:t>
      </w:r>
      <w:r w:rsidRPr="006503B0">
        <w:rPr>
          <w:color w:val="000000"/>
          <w:sz w:val="24"/>
          <w:szCs w:val="24"/>
        </w:rPr>
        <w:t>платных услуг с 01.01.2018 хозяйственно-эксплуатационной группой Управления образования;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- по доходам от </w:t>
      </w:r>
      <w:r w:rsidRPr="00980F97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</w:t>
      </w:r>
      <w:r>
        <w:rPr>
          <w:sz w:val="24"/>
          <w:szCs w:val="24"/>
        </w:rPr>
        <w:t>на 6713,9 тыс. рублей в связи с проведением 20.12.2018 открытого аукциона на право заключения договоров на установку и эксплуатацию рекламных конструкций на земельных участках, муниципальная собственность на которых не разграничена.</w:t>
      </w:r>
    </w:p>
    <w:p w:rsidR="00BB2A7B" w:rsidRPr="00FA6C52" w:rsidRDefault="00BB2A7B" w:rsidP="00BB2A7B">
      <w:pPr>
        <w:pStyle w:val="a6"/>
        <w:ind w:left="142" w:right="-142" w:firstLine="284"/>
        <w:rPr>
          <w:i/>
          <w:sz w:val="24"/>
          <w:szCs w:val="24"/>
        </w:rPr>
      </w:pPr>
      <w:r w:rsidRPr="00FA6C52">
        <w:rPr>
          <w:i/>
          <w:sz w:val="24"/>
          <w:szCs w:val="24"/>
        </w:rPr>
        <w:t xml:space="preserve">Снижены поступления по следующим доходам: </w:t>
      </w:r>
    </w:p>
    <w:p w:rsidR="00BB2A7B" w:rsidRPr="007C6755" w:rsidRDefault="00BB2A7B" w:rsidP="00BB2A7B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C6755">
        <w:rPr>
          <w:rFonts w:ascii="Times New Roman" w:hAnsi="Times New Roman" w:cs="Times New Roman"/>
          <w:sz w:val="24"/>
          <w:szCs w:val="24"/>
        </w:rPr>
        <w:t>-по налогам на совокупный доход на 5 623,7тыс. рублей, в связи с п.2.2  ст.346.32 НК РФ предусмотрено уменьшение налога на сумму расходов по приобретению контрольно- кассовой техники, включенной в реестр ККТ в размере 18 тыс. рублей на каждый экземпляр техники;</w:t>
      </w:r>
    </w:p>
    <w:p w:rsidR="00BB2A7B" w:rsidRDefault="00BB2A7B" w:rsidP="00BB2A7B">
      <w:pPr>
        <w:pStyle w:val="a6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- по платежам при пользовании природными ресурсами на 722,6 тыс. рублей   в соответствии с  законом от 31.12.2017 № 503 «О внесении изменений в Федеральный закон «Об отходах производства и потребления» в части отмены  платы за негативное воздействие на окружающую среду при размещении </w:t>
      </w:r>
      <w:r w:rsidRPr="00F1204D">
        <w:rPr>
          <w:sz w:val="24"/>
          <w:szCs w:val="24"/>
        </w:rPr>
        <w:t>твердых коммунальных</w:t>
      </w:r>
      <w:r>
        <w:rPr>
          <w:sz w:val="24"/>
          <w:szCs w:val="24"/>
        </w:rPr>
        <w:t xml:space="preserve"> отходов;</w:t>
      </w:r>
    </w:p>
    <w:p w:rsidR="00BB2A7B" w:rsidRDefault="00BB2A7B" w:rsidP="00BB2A7B">
      <w:pPr>
        <w:pStyle w:val="a6"/>
        <w:ind w:left="142" w:right="-142" w:firstLine="284"/>
        <w:rPr>
          <w:sz w:val="24"/>
          <w:szCs w:val="24"/>
        </w:rPr>
      </w:pPr>
      <w:r>
        <w:rPr>
          <w:sz w:val="24"/>
          <w:szCs w:val="24"/>
        </w:rPr>
        <w:t xml:space="preserve">-по доходам </w:t>
      </w:r>
      <w:r w:rsidRPr="00E8606D">
        <w:rPr>
          <w:sz w:val="24"/>
          <w:szCs w:val="24"/>
        </w:rPr>
        <w:t xml:space="preserve">от продажи материальных и нематериальных активов </w:t>
      </w:r>
      <w:r>
        <w:rPr>
          <w:sz w:val="24"/>
          <w:szCs w:val="24"/>
        </w:rPr>
        <w:t xml:space="preserve">на 1 913,3 тыс. рублей в связи со снижением количества объектов подлежащих приватизации, состава ликвидных объектов и  окончания графиков выкупа имущества в рассрочку. </w:t>
      </w:r>
      <w:r w:rsidRPr="0012284A">
        <w:rPr>
          <w:sz w:val="24"/>
          <w:szCs w:val="24"/>
        </w:rPr>
        <w:t>Объекты приватизации неоднократно выставлялись на публичные торги, но в</w:t>
      </w:r>
      <w:r>
        <w:rPr>
          <w:sz w:val="24"/>
          <w:szCs w:val="24"/>
        </w:rPr>
        <w:t xml:space="preserve"> виду</w:t>
      </w:r>
      <w:r w:rsidRPr="0012284A">
        <w:rPr>
          <w:sz w:val="24"/>
          <w:szCs w:val="24"/>
        </w:rPr>
        <w:t xml:space="preserve">  их не ликвидност</w:t>
      </w:r>
      <w:r>
        <w:rPr>
          <w:sz w:val="24"/>
          <w:szCs w:val="24"/>
        </w:rPr>
        <w:t>и</w:t>
      </w:r>
      <w:r w:rsidRPr="0012284A">
        <w:rPr>
          <w:sz w:val="24"/>
          <w:szCs w:val="24"/>
        </w:rPr>
        <w:t>, реализация затруднена</w:t>
      </w:r>
      <w:r>
        <w:rPr>
          <w:sz w:val="24"/>
          <w:szCs w:val="24"/>
        </w:rPr>
        <w:t>.</w:t>
      </w:r>
    </w:p>
    <w:p w:rsidR="00BB2A7B" w:rsidRPr="004E047A" w:rsidRDefault="00BB2A7B" w:rsidP="00BB2A7B">
      <w:pPr>
        <w:tabs>
          <w:tab w:val="left" w:pos="5670"/>
          <w:tab w:val="left" w:pos="6521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sz w:val="24"/>
          <w:szCs w:val="24"/>
        </w:rPr>
        <w:t xml:space="preserve">         </w:t>
      </w:r>
      <w:r w:rsidRPr="007C6755"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  <w:r w:rsidRPr="004E047A">
        <w:rPr>
          <w:rFonts w:ascii="Times New Roman" w:hAnsi="Times New Roman" w:cs="Times New Roman"/>
          <w:sz w:val="24"/>
          <w:szCs w:val="24"/>
        </w:rPr>
        <w:t>безвозмездные поступления составили 1 373 190,1 тыс. рублей (с учетом  произведенного возврата  остатков субсидий и субвенций 2017 года, имеющих целевое назначение в сумме 407,3тыс. рублей).</w:t>
      </w:r>
    </w:p>
    <w:p w:rsidR="00BB2A7B" w:rsidRPr="004E047A" w:rsidRDefault="00BB2A7B" w:rsidP="00BB2A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47A">
        <w:rPr>
          <w:rFonts w:ascii="Times New Roman" w:hAnsi="Times New Roman" w:cs="Times New Roman"/>
          <w:sz w:val="24"/>
          <w:szCs w:val="24"/>
        </w:rPr>
        <w:t xml:space="preserve">- дотации бюджетам бюджетной системы Российской  Федерации  – 204 931,1  тыс. рублей </w:t>
      </w:r>
      <w:r w:rsidRPr="004E047A">
        <w:rPr>
          <w:rFonts w:ascii="Times New Roman" w:hAnsi="Times New Roman" w:cs="Times New Roman"/>
          <w:i/>
          <w:sz w:val="24"/>
          <w:szCs w:val="24"/>
        </w:rPr>
        <w:t>(185 409,8</w:t>
      </w:r>
      <w:r w:rsidRPr="004E047A">
        <w:rPr>
          <w:rFonts w:ascii="Times New Roman" w:hAnsi="Times New Roman" w:cs="Times New Roman"/>
          <w:sz w:val="24"/>
          <w:szCs w:val="24"/>
        </w:rPr>
        <w:t xml:space="preserve">  </w:t>
      </w:r>
      <w:r w:rsidRPr="004E047A">
        <w:rPr>
          <w:rFonts w:ascii="Times New Roman" w:hAnsi="Times New Roman" w:cs="Times New Roman"/>
          <w:i/>
          <w:sz w:val="24"/>
          <w:szCs w:val="24"/>
        </w:rPr>
        <w:t>тыс. рублей- 2017);</w:t>
      </w:r>
      <w:r w:rsidRPr="004E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B" w:rsidRPr="004E047A" w:rsidRDefault="00BB2A7B" w:rsidP="00BB2A7B">
      <w:pPr>
        <w:spacing w:after="0"/>
        <w:jc w:val="both"/>
        <w:rPr>
          <w:rFonts w:ascii="Times New Roman" w:hAnsi="Times New Roman" w:cs="Times New Roman"/>
          <w:bCs/>
        </w:rPr>
      </w:pPr>
      <w:r w:rsidRPr="004E047A">
        <w:rPr>
          <w:rFonts w:ascii="Times New Roman" w:hAnsi="Times New Roman" w:cs="Times New Roman"/>
          <w:sz w:val="24"/>
          <w:szCs w:val="24"/>
        </w:rPr>
        <w:t xml:space="preserve">        - субсидии бюджетам бюджетной системы Российской Федерации  – 225 870,1 тыс. рублей </w:t>
      </w:r>
      <w:r w:rsidRPr="004E047A">
        <w:rPr>
          <w:rFonts w:ascii="Times New Roman" w:hAnsi="Times New Roman" w:cs="Times New Roman"/>
          <w:i/>
          <w:sz w:val="24"/>
          <w:szCs w:val="24"/>
        </w:rPr>
        <w:t>(170 962,9</w:t>
      </w:r>
      <w:r w:rsidRPr="004E047A">
        <w:rPr>
          <w:rFonts w:ascii="Times New Roman" w:hAnsi="Times New Roman" w:cs="Times New Roman"/>
          <w:sz w:val="24"/>
          <w:szCs w:val="24"/>
        </w:rPr>
        <w:t xml:space="preserve"> </w:t>
      </w:r>
      <w:r w:rsidRPr="004E047A">
        <w:rPr>
          <w:rFonts w:ascii="Times New Roman" w:hAnsi="Times New Roman" w:cs="Times New Roman"/>
          <w:i/>
          <w:sz w:val="24"/>
          <w:szCs w:val="24"/>
        </w:rPr>
        <w:t>тыс. рублей-2017);</w:t>
      </w:r>
    </w:p>
    <w:p w:rsidR="00BB2A7B" w:rsidRPr="004E047A" w:rsidRDefault="00BB2A7B" w:rsidP="00BB2A7B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4E047A">
        <w:rPr>
          <w:rFonts w:ascii="Times New Roman" w:hAnsi="Times New Roman" w:cs="Times New Roman"/>
          <w:sz w:val="24"/>
          <w:szCs w:val="24"/>
        </w:rPr>
        <w:lastRenderedPageBreak/>
        <w:t>- субвенции  бюджетам бюджетной системы Российской Федерации – 936 282,3</w:t>
      </w:r>
      <w:r w:rsidRPr="004E04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E047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4E047A">
        <w:rPr>
          <w:rFonts w:ascii="Times New Roman" w:hAnsi="Times New Roman" w:cs="Times New Roman"/>
          <w:i/>
          <w:sz w:val="24"/>
          <w:szCs w:val="24"/>
        </w:rPr>
        <w:t>(</w:t>
      </w:r>
      <w:r w:rsidRPr="004E047A">
        <w:rPr>
          <w:rFonts w:ascii="Times New Roman" w:hAnsi="Times New Roman" w:cs="Times New Roman"/>
          <w:sz w:val="24"/>
          <w:szCs w:val="24"/>
        </w:rPr>
        <w:t>819 625,9</w:t>
      </w:r>
      <w:r w:rsidRPr="004E047A">
        <w:rPr>
          <w:rFonts w:ascii="Times New Roman" w:hAnsi="Times New Roman" w:cs="Times New Roman"/>
          <w:bCs/>
        </w:rPr>
        <w:t xml:space="preserve"> </w:t>
      </w:r>
      <w:r w:rsidRPr="004E047A">
        <w:rPr>
          <w:rFonts w:ascii="Times New Roman" w:hAnsi="Times New Roman" w:cs="Times New Roman"/>
          <w:i/>
          <w:sz w:val="24"/>
          <w:szCs w:val="24"/>
        </w:rPr>
        <w:t xml:space="preserve"> тыс. рублей -2017</w:t>
      </w:r>
      <w:r w:rsidRPr="004E047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2A7B" w:rsidRPr="004E047A" w:rsidRDefault="00BB2A7B" w:rsidP="00BB2A7B">
      <w:pPr>
        <w:pStyle w:val="ab"/>
        <w:ind w:left="-142" w:right="0" w:firstLine="568"/>
        <w:rPr>
          <w:sz w:val="24"/>
          <w:szCs w:val="24"/>
        </w:rPr>
      </w:pPr>
      <w:r w:rsidRPr="004E047A">
        <w:rPr>
          <w:sz w:val="24"/>
          <w:szCs w:val="24"/>
        </w:rPr>
        <w:t xml:space="preserve">- иные межбюджетные трансферты –1 013,1  тыс. рублей </w:t>
      </w:r>
      <w:r w:rsidRPr="004E047A">
        <w:rPr>
          <w:i/>
          <w:sz w:val="24"/>
          <w:szCs w:val="24"/>
        </w:rPr>
        <w:t>(27 524,1</w:t>
      </w:r>
      <w:r w:rsidRPr="004E047A">
        <w:rPr>
          <w:sz w:val="24"/>
          <w:szCs w:val="24"/>
        </w:rPr>
        <w:t xml:space="preserve"> </w:t>
      </w:r>
      <w:r w:rsidRPr="004E047A">
        <w:rPr>
          <w:i/>
          <w:sz w:val="24"/>
          <w:szCs w:val="24"/>
        </w:rPr>
        <w:t xml:space="preserve"> тыс. рублей из них 25 867 тыс. рублей компенсация расходов на повышение оплаты труда -2017);</w:t>
      </w:r>
      <w:r w:rsidRPr="004E047A">
        <w:rPr>
          <w:sz w:val="24"/>
          <w:szCs w:val="24"/>
        </w:rPr>
        <w:t xml:space="preserve"> </w:t>
      </w:r>
    </w:p>
    <w:p w:rsidR="00BB2A7B" w:rsidRPr="004E047A" w:rsidRDefault="00BB2A7B" w:rsidP="00BB2A7B">
      <w:pPr>
        <w:pStyle w:val="ab"/>
        <w:ind w:left="0" w:right="0"/>
        <w:rPr>
          <w:sz w:val="24"/>
          <w:szCs w:val="24"/>
        </w:rPr>
      </w:pPr>
      <w:r w:rsidRPr="004E047A">
        <w:rPr>
          <w:sz w:val="24"/>
          <w:szCs w:val="24"/>
        </w:rPr>
        <w:t>- прочие безвозмездные поступления в бюджеты городских округов – 5 500,8 тыс.  рублей</w:t>
      </w:r>
      <w:r w:rsidRPr="004E047A">
        <w:rPr>
          <w:i/>
          <w:sz w:val="24"/>
          <w:szCs w:val="24"/>
        </w:rPr>
        <w:t xml:space="preserve"> (3 380,9</w:t>
      </w:r>
      <w:r w:rsidRPr="004E047A">
        <w:rPr>
          <w:sz w:val="24"/>
          <w:szCs w:val="24"/>
        </w:rPr>
        <w:t xml:space="preserve"> </w:t>
      </w:r>
      <w:r w:rsidRPr="004E047A">
        <w:rPr>
          <w:i/>
          <w:sz w:val="24"/>
          <w:szCs w:val="24"/>
        </w:rPr>
        <w:t>тыс. рублей-2017)</w:t>
      </w:r>
    </w:p>
    <w:p w:rsidR="00E20DB1" w:rsidRPr="00683B8F" w:rsidRDefault="00BB2A7B" w:rsidP="00E20DB1">
      <w:pPr>
        <w:pStyle w:val="a6"/>
        <w:ind w:firstLine="426"/>
        <w:rPr>
          <w:sz w:val="24"/>
          <w:szCs w:val="24"/>
        </w:rPr>
      </w:pPr>
      <w:r w:rsidRPr="007C6755">
        <w:rPr>
          <w:b/>
          <w:sz w:val="24"/>
          <w:szCs w:val="24"/>
        </w:rPr>
        <w:t xml:space="preserve">        </w:t>
      </w:r>
      <w:r w:rsidRPr="007C6755">
        <w:rPr>
          <w:i/>
          <w:sz w:val="24"/>
          <w:szCs w:val="24"/>
        </w:rPr>
        <w:t xml:space="preserve">Общие доходы бюджета составили  1 935 464,9 тыс. рублей или  99,8 %   к   уточненным  плановым назначениям года. </w:t>
      </w:r>
      <w:r w:rsidR="00E20DB1" w:rsidRPr="00683B8F">
        <w:rPr>
          <w:sz w:val="24"/>
          <w:szCs w:val="24"/>
        </w:rPr>
        <w:t xml:space="preserve">В структуре фактического исполнения доходов </w:t>
      </w:r>
      <w:r w:rsidR="00B66222">
        <w:rPr>
          <w:sz w:val="24"/>
          <w:szCs w:val="24"/>
        </w:rPr>
        <w:t xml:space="preserve">Бюджета </w:t>
      </w:r>
      <w:r w:rsidR="00E20DB1" w:rsidRPr="00683B8F">
        <w:rPr>
          <w:sz w:val="24"/>
          <w:szCs w:val="24"/>
        </w:rPr>
        <w:t>муниципального образования</w:t>
      </w:r>
      <w:r w:rsidR="00E20DB1">
        <w:rPr>
          <w:sz w:val="24"/>
          <w:szCs w:val="24"/>
        </w:rPr>
        <w:t xml:space="preserve"> «Город Воткинск» з</w:t>
      </w:r>
      <w:r w:rsidR="00E20DB1" w:rsidRPr="00E8606D">
        <w:rPr>
          <w:sz w:val="24"/>
          <w:szCs w:val="24"/>
        </w:rPr>
        <w:t>а 201</w:t>
      </w:r>
      <w:r w:rsidR="00E20DB1">
        <w:rPr>
          <w:sz w:val="24"/>
          <w:szCs w:val="24"/>
        </w:rPr>
        <w:t xml:space="preserve">8 </w:t>
      </w:r>
      <w:r w:rsidR="00E20DB1" w:rsidRPr="00E8606D">
        <w:rPr>
          <w:sz w:val="24"/>
          <w:szCs w:val="24"/>
        </w:rPr>
        <w:t>го</w:t>
      </w:r>
      <w:r w:rsidR="00E20DB1">
        <w:rPr>
          <w:sz w:val="24"/>
          <w:szCs w:val="24"/>
        </w:rPr>
        <w:t xml:space="preserve">д безвозмездные </w:t>
      </w:r>
      <w:r w:rsidR="00B66222">
        <w:rPr>
          <w:sz w:val="24"/>
          <w:szCs w:val="24"/>
        </w:rPr>
        <w:t xml:space="preserve">поступления </w:t>
      </w:r>
      <w:r w:rsidR="00E20DB1">
        <w:rPr>
          <w:sz w:val="24"/>
          <w:szCs w:val="24"/>
        </w:rPr>
        <w:t xml:space="preserve"> составляют 70,9%, собственные доходы 29,1%.</w:t>
      </w:r>
    </w:p>
    <w:p w:rsidR="00BB2A7B" w:rsidRPr="007C6755" w:rsidRDefault="00BB2A7B" w:rsidP="00BB2A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A7B" w:rsidRPr="00E8606D" w:rsidRDefault="00BB2A7B" w:rsidP="00BB2A7B">
      <w:pPr>
        <w:pStyle w:val="ab"/>
        <w:ind w:left="-567" w:right="0" w:firstLine="283"/>
        <w:rPr>
          <w:sz w:val="24"/>
          <w:szCs w:val="24"/>
        </w:rPr>
      </w:pPr>
      <w:r w:rsidRPr="007C6755">
        <w:rPr>
          <w:b/>
          <w:i/>
          <w:sz w:val="24"/>
          <w:szCs w:val="24"/>
        </w:rPr>
        <w:t xml:space="preserve"> </w:t>
      </w:r>
      <w:r w:rsidRPr="00E8606D">
        <w:rPr>
          <w:sz w:val="24"/>
          <w:szCs w:val="24"/>
        </w:rPr>
        <w:t xml:space="preserve">       </w:t>
      </w:r>
    </w:p>
    <w:p w:rsidR="00BB2A7B" w:rsidRPr="007C6755" w:rsidRDefault="00BB2A7B" w:rsidP="00BB2A7B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755">
        <w:rPr>
          <w:rFonts w:ascii="Times New Roman" w:hAnsi="Times New Roman" w:cs="Times New Roman"/>
          <w:sz w:val="24"/>
          <w:szCs w:val="24"/>
        </w:rPr>
        <w:t xml:space="preserve">               Исполнение Бюджета муниципального образования «Город Воткинск» по расходам за 2018  год составило 1 910 670,7  тыс. рублей  или 97,9 % к уточненному плану года.                                                              </w:t>
      </w:r>
    </w:p>
    <w:p w:rsidR="00BB2A7B" w:rsidRDefault="00BB2A7B" w:rsidP="00BB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B5">
        <w:rPr>
          <w:rFonts w:ascii="Times New Roman" w:hAnsi="Times New Roman" w:cs="Times New Roman"/>
        </w:rPr>
        <w:t xml:space="preserve">      </w:t>
      </w:r>
      <w:r>
        <w:rPr>
          <w:sz w:val="24"/>
          <w:szCs w:val="24"/>
        </w:rPr>
        <w:t xml:space="preserve"> </w:t>
      </w:r>
      <w:r w:rsidRPr="009674D4">
        <w:rPr>
          <w:rFonts w:ascii="Times New Roman" w:hAnsi="Times New Roman" w:cs="Times New Roman"/>
          <w:sz w:val="24"/>
          <w:szCs w:val="24"/>
        </w:rPr>
        <w:t>Процент освоения средств по муниципальным программам – 97,9 %, в суммовом выражении –1 899 174,6 тыс. рублей,  удельный  вес в  общей структуре расходов – 99,4 %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4D4">
        <w:rPr>
          <w:rFonts w:ascii="Times New Roman" w:hAnsi="Times New Roman" w:cs="Times New Roman"/>
          <w:sz w:val="24"/>
          <w:szCs w:val="24"/>
        </w:rPr>
        <w:t xml:space="preserve">  темп роста к аналогичному периоду прошлого года 111,9 % , или на 202 824,2 тыс. рублей больше.</w:t>
      </w:r>
    </w:p>
    <w:p w:rsidR="00BB2A7B" w:rsidRPr="009674D4" w:rsidRDefault="00BB2A7B" w:rsidP="00BB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74D4">
        <w:rPr>
          <w:rFonts w:ascii="Times New Roman" w:hAnsi="Times New Roman" w:cs="Times New Roman"/>
          <w:sz w:val="24"/>
          <w:szCs w:val="24"/>
        </w:rPr>
        <w:t xml:space="preserve">  Расходы социальной направленности бюджета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9674D4">
        <w:rPr>
          <w:rFonts w:ascii="Times New Roman" w:hAnsi="Times New Roman" w:cs="Times New Roman"/>
          <w:sz w:val="24"/>
          <w:szCs w:val="24"/>
        </w:rPr>
        <w:t xml:space="preserve"> исполнены на 1 612 337,9  тыс. рублей,  или  84,4 % общего объема расходов бюджета. </w:t>
      </w:r>
    </w:p>
    <w:p w:rsidR="00BB2A7B" w:rsidRPr="009674D4" w:rsidRDefault="00BB2A7B" w:rsidP="00BB2A7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74D4">
        <w:rPr>
          <w:rFonts w:ascii="Times New Roman" w:hAnsi="Times New Roman" w:cs="Times New Roman"/>
          <w:sz w:val="24"/>
          <w:szCs w:val="24"/>
        </w:rPr>
        <w:t xml:space="preserve"> За отчетный период выплаты заработной платы с отчислениями работникам бюджетной    сферы составили 1 281 571,1 тыс. рублей  или  67,1 %,  коммунальные  расходы – 124 937,5 тыс. рублей или 6,5 %  от  общего объема произведенных расходов бюджета.         </w:t>
      </w:r>
    </w:p>
    <w:p w:rsidR="00BB2A7B" w:rsidRDefault="00BB2A7B" w:rsidP="00BB2A7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 xml:space="preserve">  </w:t>
      </w:r>
      <w:r w:rsidR="00D355CA">
        <w:rPr>
          <w:rFonts w:ascii="Times New Roman" w:hAnsi="Times New Roman" w:cs="Times New Roman"/>
          <w:sz w:val="24"/>
          <w:szCs w:val="24"/>
        </w:rPr>
        <w:t>На 01.01.2019 года</w:t>
      </w:r>
      <w:r w:rsidRPr="009674D4">
        <w:rPr>
          <w:rFonts w:ascii="Times New Roman" w:hAnsi="Times New Roman" w:cs="Times New Roman"/>
          <w:sz w:val="24"/>
          <w:szCs w:val="24"/>
        </w:rPr>
        <w:t xml:space="preserve">   муниципальный долг  по </w:t>
      </w:r>
      <w:proofErr w:type="gramStart"/>
      <w:r w:rsidRPr="009674D4">
        <w:rPr>
          <w:rFonts w:ascii="Times New Roman" w:hAnsi="Times New Roman" w:cs="Times New Roman"/>
          <w:sz w:val="24"/>
          <w:szCs w:val="24"/>
        </w:rPr>
        <w:t>бюджетным кредитам, выданным из бюджета Удмуртской  Республики составил</w:t>
      </w:r>
      <w:proofErr w:type="gramEnd"/>
      <w:r w:rsidRPr="009674D4">
        <w:rPr>
          <w:rFonts w:ascii="Times New Roman" w:hAnsi="Times New Roman" w:cs="Times New Roman"/>
          <w:sz w:val="24"/>
          <w:szCs w:val="24"/>
        </w:rPr>
        <w:t xml:space="preserve"> 125 419 тыс. рублей.  Объем муниципального долга не превышает ограничений, установленных ст. 107 Бюджетного Кодекса Российской Федерации. На обслуживание внутреннего муниципального долга направлено 129,5 тыс. рублей. </w:t>
      </w:r>
      <w:r w:rsidR="00D355CA">
        <w:rPr>
          <w:rFonts w:ascii="Times New Roman" w:hAnsi="Times New Roman" w:cs="Times New Roman"/>
          <w:sz w:val="24"/>
          <w:szCs w:val="24"/>
        </w:rPr>
        <w:t>Отношение муниципального долга к доходам бюджета города без учета объема безвозмездных поступлений  на коней 2025 года составит не более 90%.</w:t>
      </w:r>
    </w:p>
    <w:p w:rsidR="00BB2A7B" w:rsidRPr="009674D4" w:rsidRDefault="00BB2A7B" w:rsidP="00BB2A7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на 1 января 2019 года </w:t>
      </w:r>
      <w:r w:rsidRPr="008156FE">
        <w:rPr>
          <w:rFonts w:ascii="Times New Roman" w:hAnsi="Times New Roman" w:cs="Times New Roman"/>
          <w:sz w:val="24"/>
          <w:szCs w:val="24"/>
        </w:rPr>
        <w:t>составила 16 603,2 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нет.</w:t>
      </w:r>
    </w:p>
    <w:p w:rsidR="00BB2A7B" w:rsidRPr="009674D4" w:rsidRDefault="00BB2A7B" w:rsidP="00BB2A7B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9674D4">
        <w:rPr>
          <w:rFonts w:ascii="Times New Roman" w:hAnsi="Times New Roman" w:cs="Times New Roman"/>
          <w:sz w:val="24"/>
          <w:szCs w:val="24"/>
        </w:rPr>
        <w:t>первоначально утвержденный дефицит 53 400 тыс. рублей закрыт переходящими остатками собственных сре</w:t>
      </w:r>
      <w:proofErr w:type="gramStart"/>
      <w:r w:rsidRPr="009674D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674D4">
        <w:rPr>
          <w:rFonts w:ascii="Times New Roman" w:hAnsi="Times New Roman" w:cs="Times New Roman"/>
          <w:sz w:val="24"/>
          <w:szCs w:val="24"/>
        </w:rPr>
        <w:t xml:space="preserve">умме 10 739,5  тыс. рублей, дотацией на сбалансированность в сумме 27 009 тыс. рублей, сверхплановыми доходами в сумме 12 403 тыс. рублей, сокращением текущих расходов бюджета </w:t>
      </w:r>
      <w:r w:rsidRPr="009674D4">
        <w:rPr>
          <w:rFonts w:ascii="Times New Roman" w:hAnsi="Times New Roman" w:cs="Times New Roman"/>
          <w:color w:val="000000"/>
          <w:spacing w:val="1"/>
          <w:sz w:val="24"/>
          <w:szCs w:val="24"/>
        </w:rPr>
        <w:t>-3 248,</w:t>
      </w:r>
      <w:r w:rsidRPr="009674D4">
        <w:rPr>
          <w:rFonts w:ascii="Times New Roman" w:hAnsi="Times New Roman" w:cs="Times New Roman"/>
          <w:sz w:val="24"/>
          <w:szCs w:val="24"/>
        </w:rPr>
        <w:t xml:space="preserve">5 тыс. рублей. </w:t>
      </w:r>
    </w:p>
    <w:p w:rsidR="00E56A3D" w:rsidRDefault="00EA0F29" w:rsidP="003449EA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448">
        <w:rPr>
          <w:rFonts w:ascii="Times New Roman" w:hAnsi="Times New Roman"/>
          <w:sz w:val="24"/>
          <w:szCs w:val="24"/>
        </w:rPr>
        <w:t>С учетом вышеизложенного р</w:t>
      </w:r>
      <w:r w:rsidR="00E56A3D" w:rsidRPr="00816448">
        <w:rPr>
          <w:rFonts w:ascii="Times New Roman" w:hAnsi="Times New Roman"/>
          <w:sz w:val="24"/>
          <w:szCs w:val="24"/>
        </w:rPr>
        <w:t>асходы</w:t>
      </w:r>
      <w:r w:rsidR="00E56A3D" w:rsidRPr="00134D7C">
        <w:rPr>
          <w:rFonts w:ascii="Times New Roman" w:hAnsi="Times New Roman"/>
          <w:sz w:val="24"/>
          <w:szCs w:val="24"/>
        </w:rPr>
        <w:t xml:space="preserve"> бюджета, предусмотренные в бюджетно</w:t>
      </w:r>
      <w:r w:rsidR="00400A67">
        <w:rPr>
          <w:rFonts w:ascii="Times New Roman" w:hAnsi="Times New Roman"/>
          <w:sz w:val="24"/>
          <w:szCs w:val="24"/>
        </w:rPr>
        <w:t>м</w:t>
      </w:r>
      <w:r w:rsidR="00E56A3D" w:rsidRPr="00134D7C">
        <w:rPr>
          <w:rFonts w:ascii="Times New Roman" w:hAnsi="Times New Roman"/>
          <w:sz w:val="24"/>
          <w:szCs w:val="24"/>
        </w:rPr>
        <w:t xml:space="preserve"> прогноз</w:t>
      </w:r>
      <w:r w:rsidR="00400A67">
        <w:rPr>
          <w:rFonts w:ascii="Times New Roman" w:hAnsi="Times New Roman"/>
          <w:sz w:val="24"/>
          <w:szCs w:val="24"/>
        </w:rPr>
        <w:t>е</w:t>
      </w:r>
      <w:r w:rsidR="00E56A3D" w:rsidRPr="00134D7C">
        <w:rPr>
          <w:rFonts w:ascii="Times New Roman" w:hAnsi="Times New Roman"/>
          <w:sz w:val="24"/>
          <w:szCs w:val="24"/>
        </w:rPr>
        <w:t xml:space="preserve"> сформированы </w:t>
      </w:r>
      <w:r w:rsidR="008013B4">
        <w:rPr>
          <w:rFonts w:ascii="Times New Roman" w:hAnsi="Times New Roman"/>
          <w:sz w:val="24"/>
          <w:szCs w:val="24"/>
        </w:rPr>
        <w:t>с целью:</w:t>
      </w:r>
      <w:r w:rsidR="00E56A3D" w:rsidRPr="00134D7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A43D7" w:rsidRDefault="008A43D7" w:rsidP="008A43D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9565D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>сбалансированности</w:t>
      </w:r>
      <w:r w:rsidRPr="0079565D">
        <w:rPr>
          <w:rFonts w:ascii="Times New Roman" w:hAnsi="Times New Roman"/>
          <w:sz w:val="24"/>
          <w:szCs w:val="24"/>
        </w:rPr>
        <w:t xml:space="preserve"> </w:t>
      </w:r>
      <w:r w:rsidR="00EF1ED0">
        <w:rPr>
          <w:rFonts w:ascii="Times New Roman" w:hAnsi="Times New Roman"/>
          <w:sz w:val="24"/>
          <w:szCs w:val="24"/>
        </w:rPr>
        <w:t>и 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65D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ойчивости  Б</w:t>
      </w:r>
      <w:r w:rsidRPr="0079565D">
        <w:rPr>
          <w:rFonts w:ascii="Times New Roman" w:hAnsi="Times New Roman"/>
          <w:sz w:val="24"/>
          <w:szCs w:val="24"/>
        </w:rPr>
        <w:t>юджета</w:t>
      </w:r>
      <w:r w:rsidR="00FE4C68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 w:rsidRPr="0079565D">
        <w:rPr>
          <w:rFonts w:ascii="Times New Roman" w:hAnsi="Times New Roman"/>
          <w:sz w:val="24"/>
          <w:szCs w:val="24"/>
        </w:rPr>
        <w:t xml:space="preserve">, </w:t>
      </w:r>
    </w:p>
    <w:p w:rsidR="008A43D7" w:rsidRDefault="008A43D7" w:rsidP="008A43D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9565D">
        <w:rPr>
          <w:rFonts w:ascii="Times New Roman" w:hAnsi="Times New Roman"/>
          <w:sz w:val="24"/>
          <w:szCs w:val="24"/>
        </w:rPr>
        <w:t xml:space="preserve">   -</w:t>
      </w:r>
      <w:r>
        <w:rPr>
          <w:rFonts w:ascii="Times New Roman" w:hAnsi="Times New Roman"/>
          <w:sz w:val="24"/>
          <w:szCs w:val="24"/>
        </w:rPr>
        <w:t>гарантированно</w:t>
      </w:r>
      <w:r w:rsidR="00BC7E2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C7E2F">
        <w:rPr>
          <w:rFonts w:ascii="Times New Roman" w:hAnsi="Times New Roman"/>
          <w:sz w:val="24"/>
          <w:szCs w:val="24"/>
        </w:rPr>
        <w:t xml:space="preserve"> исполнения</w:t>
      </w:r>
      <w:r w:rsidRPr="0079565D">
        <w:rPr>
          <w:rFonts w:ascii="Times New Roman" w:hAnsi="Times New Roman"/>
          <w:sz w:val="24"/>
          <w:szCs w:val="24"/>
        </w:rPr>
        <w:t xml:space="preserve"> социальных обязательств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="00951406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>
        <w:rPr>
          <w:rFonts w:ascii="Times New Roman" w:hAnsi="Times New Roman"/>
          <w:sz w:val="24"/>
          <w:szCs w:val="24"/>
        </w:rPr>
        <w:t>;</w:t>
      </w:r>
      <w:r w:rsidRPr="0079565D">
        <w:rPr>
          <w:rFonts w:ascii="Times New Roman" w:hAnsi="Times New Roman"/>
          <w:sz w:val="24"/>
          <w:szCs w:val="24"/>
        </w:rPr>
        <w:t xml:space="preserve">  </w:t>
      </w:r>
    </w:p>
    <w:p w:rsidR="008A43D7" w:rsidRDefault="008A43D7" w:rsidP="008A43D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-</w:t>
      </w:r>
      <w:r w:rsidRPr="00B67D5C">
        <w:rPr>
          <w:rFonts w:ascii="Times New Roman" w:hAnsi="Times New Roman"/>
          <w:spacing w:val="-2"/>
          <w:sz w:val="24"/>
          <w:szCs w:val="24"/>
        </w:rPr>
        <w:t>поэтапно</w:t>
      </w:r>
      <w:r w:rsidR="00BC7E2F">
        <w:rPr>
          <w:rFonts w:ascii="Times New Roman" w:hAnsi="Times New Roman"/>
          <w:spacing w:val="-2"/>
          <w:sz w:val="24"/>
          <w:szCs w:val="24"/>
        </w:rPr>
        <w:t>го снижения</w:t>
      </w:r>
      <w:r w:rsidRPr="00B67D5C">
        <w:rPr>
          <w:rFonts w:ascii="Times New Roman" w:hAnsi="Times New Roman"/>
          <w:spacing w:val="-2"/>
          <w:sz w:val="24"/>
          <w:szCs w:val="24"/>
        </w:rPr>
        <w:t xml:space="preserve"> уровня </w:t>
      </w:r>
      <w:r>
        <w:rPr>
          <w:rFonts w:ascii="Times New Roman" w:hAnsi="Times New Roman"/>
          <w:spacing w:val="-2"/>
          <w:sz w:val="24"/>
          <w:szCs w:val="24"/>
        </w:rPr>
        <w:t>муниципального</w:t>
      </w:r>
      <w:r w:rsidRPr="00B67D5C">
        <w:rPr>
          <w:rFonts w:ascii="Times New Roman" w:hAnsi="Times New Roman"/>
          <w:spacing w:val="-2"/>
          <w:sz w:val="24"/>
          <w:szCs w:val="24"/>
        </w:rPr>
        <w:t xml:space="preserve"> долга  и соблюдение условий реструктуризации  бюджетных кредитов, предоставленных из бюджета</w:t>
      </w:r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 w:rsidR="00BC7E2F">
        <w:rPr>
          <w:rFonts w:ascii="Times New Roman" w:hAnsi="Times New Roman"/>
          <w:spacing w:val="-2"/>
          <w:sz w:val="24"/>
          <w:szCs w:val="24"/>
        </w:rPr>
        <w:t xml:space="preserve">дмуртской </w:t>
      </w:r>
      <w:r>
        <w:rPr>
          <w:rFonts w:ascii="Times New Roman" w:hAnsi="Times New Roman"/>
          <w:spacing w:val="-2"/>
          <w:sz w:val="24"/>
          <w:szCs w:val="24"/>
        </w:rPr>
        <w:t>Р</w:t>
      </w:r>
      <w:r w:rsidR="00BC7E2F">
        <w:rPr>
          <w:rFonts w:ascii="Times New Roman" w:hAnsi="Times New Roman"/>
          <w:spacing w:val="-2"/>
          <w:sz w:val="24"/>
          <w:szCs w:val="24"/>
        </w:rPr>
        <w:t>еспублики</w:t>
      </w:r>
      <w:r w:rsidRPr="00B67D5C">
        <w:rPr>
          <w:rFonts w:ascii="Times New Roman" w:hAnsi="Times New Roman"/>
          <w:spacing w:val="-2"/>
          <w:sz w:val="24"/>
          <w:szCs w:val="24"/>
        </w:rPr>
        <w:t>;</w:t>
      </w:r>
    </w:p>
    <w:p w:rsidR="008A43D7" w:rsidRPr="008A43D7" w:rsidRDefault="008A43D7" w:rsidP="008A43D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-</w:t>
      </w:r>
      <w:r w:rsidR="00BC7E2F">
        <w:rPr>
          <w:rFonts w:ascii="Times New Roman" w:hAnsi="Times New Roman"/>
          <w:spacing w:val="-2"/>
          <w:sz w:val="24"/>
          <w:szCs w:val="24"/>
        </w:rPr>
        <w:t>обеспечения</w:t>
      </w:r>
      <w:r w:rsidRPr="00B67D5C">
        <w:rPr>
          <w:rFonts w:ascii="Times New Roman" w:hAnsi="Times New Roman"/>
          <w:spacing w:val="-2"/>
          <w:sz w:val="24"/>
          <w:szCs w:val="24"/>
        </w:rPr>
        <w:t xml:space="preserve"> расходных обязательств, </w:t>
      </w:r>
      <w:proofErr w:type="spellStart"/>
      <w:r w:rsidRPr="00B67D5C">
        <w:rPr>
          <w:rFonts w:ascii="Times New Roman" w:hAnsi="Times New Roman"/>
          <w:spacing w:val="-2"/>
          <w:sz w:val="24"/>
          <w:szCs w:val="24"/>
        </w:rPr>
        <w:t>софинансируемых</w:t>
      </w:r>
      <w:proofErr w:type="spellEnd"/>
      <w:r w:rsidRPr="00B67D5C">
        <w:rPr>
          <w:rFonts w:ascii="Times New Roman" w:hAnsi="Times New Roman"/>
          <w:spacing w:val="-2"/>
          <w:sz w:val="24"/>
          <w:szCs w:val="24"/>
        </w:rPr>
        <w:t xml:space="preserve"> из бюджета</w:t>
      </w:r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 w:rsidR="00BC7E2F">
        <w:rPr>
          <w:rFonts w:ascii="Times New Roman" w:hAnsi="Times New Roman"/>
          <w:spacing w:val="-2"/>
          <w:sz w:val="24"/>
          <w:szCs w:val="24"/>
        </w:rPr>
        <w:t xml:space="preserve">дмуртской </w:t>
      </w:r>
      <w:r>
        <w:rPr>
          <w:rFonts w:ascii="Times New Roman" w:hAnsi="Times New Roman"/>
          <w:spacing w:val="-2"/>
          <w:sz w:val="24"/>
          <w:szCs w:val="24"/>
        </w:rPr>
        <w:t>Р</w:t>
      </w:r>
      <w:r w:rsidR="00BC7E2F">
        <w:rPr>
          <w:rFonts w:ascii="Times New Roman" w:hAnsi="Times New Roman"/>
          <w:spacing w:val="-2"/>
          <w:sz w:val="24"/>
          <w:szCs w:val="24"/>
        </w:rPr>
        <w:t>еспублики</w:t>
      </w:r>
      <w:r w:rsidR="00951406">
        <w:rPr>
          <w:rFonts w:ascii="Times New Roman" w:hAnsi="Times New Roman"/>
          <w:spacing w:val="-2"/>
          <w:sz w:val="24"/>
          <w:szCs w:val="24"/>
        </w:rPr>
        <w:t>.</w:t>
      </w:r>
    </w:p>
    <w:p w:rsidR="00DE14D5" w:rsidRDefault="00DE14D5" w:rsidP="00DE14D5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4D5" w:rsidRPr="00134D7C" w:rsidRDefault="00DE14D5" w:rsidP="00DE14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DF6">
        <w:rPr>
          <w:rFonts w:ascii="Times New Roman" w:hAnsi="Times New Roman"/>
          <w:sz w:val="24"/>
          <w:szCs w:val="24"/>
        </w:rPr>
        <w:t xml:space="preserve">Основные подходы, цели и задачи формирования и реализации </w:t>
      </w:r>
      <w:r w:rsidRPr="00802DF6">
        <w:rPr>
          <w:rFonts w:ascii="Times New Roman" w:hAnsi="Times New Roman"/>
          <w:sz w:val="24"/>
          <w:szCs w:val="24"/>
        </w:rPr>
        <w:br/>
        <w:t xml:space="preserve">бюджетной, </w:t>
      </w:r>
      <w:r w:rsidRPr="0031232D">
        <w:rPr>
          <w:rFonts w:ascii="Times New Roman" w:hAnsi="Times New Roman"/>
          <w:sz w:val="24"/>
          <w:szCs w:val="24"/>
        </w:rPr>
        <w:t>налоговой</w:t>
      </w:r>
      <w:r w:rsidRPr="00802DF6">
        <w:rPr>
          <w:rFonts w:ascii="Times New Roman" w:hAnsi="Times New Roman"/>
          <w:sz w:val="24"/>
          <w:szCs w:val="24"/>
        </w:rPr>
        <w:t xml:space="preserve"> и долговой политики </w:t>
      </w:r>
      <w:r w:rsidR="00802DF6" w:rsidRPr="00802DF6">
        <w:rPr>
          <w:rFonts w:ascii="Times New Roman" w:hAnsi="Times New Roman"/>
          <w:sz w:val="24"/>
          <w:szCs w:val="24"/>
        </w:rPr>
        <w:t xml:space="preserve">муниципального образования «Город Воткинск» </w:t>
      </w:r>
      <w:r w:rsidRPr="00802DF6">
        <w:rPr>
          <w:rFonts w:ascii="Times New Roman" w:hAnsi="Times New Roman"/>
          <w:sz w:val="24"/>
          <w:szCs w:val="24"/>
        </w:rPr>
        <w:t>в долгосрочном периоде</w:t>
      </w:r>
    </w:p>
    <w:p w:rsidR="00DE14D5" w:rsidRPr="00134D7C" w:rsidRDefault="00DE14D5" w:rsidP="00DE14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Целью формирования  и реализации бюджетной, налоговой и долговой политики </w:t>
      </w:r>
      <w:r w:rsidR="002256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34D7C">
        <w:rPr>
          <w:rFonts w:ascii="Times New Roman" w:hAnsi="Times New Roman"/>
          <w:sz w:val="24"/>
          <w:szCs w:val="24"/>
        </w:rPr>
        <w:t>в долгосрочном периоде является описание условий, принимаемых для составления проекта Бюджетного прогноза,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Задача формирования и реализации бюджетной, налоговой и долговой политики </w:t>
      </w:r>
      <w:r w:rsidR="00225663">
        <w:rPr>
          <w:rFonts w:ascii="Times New Roman" w:hAnsi="Times New Roman"/>
          <w:sz w:val="24"/>
          <w:szCs w:val="24"/>
        </w:rPr>
        <w:t>муниципального образования</w:t>
      </w:r>
      <w:r w:rsidRPr="00134D7C">
        <w:rPr>
          <w:rFonts w:ascii="Times New Roman" w:hAnsi="Times New Roman"/>
          <w:sz w:val="24"/>
          <w:szCs w:val="24"/>
        </w:rPr>
        <w:t xml:space="preserve"> в долгосрочном периоде – определение подходов к планированию доходов и расходов, источников финансирования дефицита бюджета, финансовых взаимоотношений </w:t>
      </w:r>
      <w:r w:rsidRPr="00C94805">
        <w:rPr>
          <w:rFonts w:ascii="Times New Roman" w:hAnsi="Times New Roman"/>
          <w:sz w:val="24"/>
          <w:szCs w:val="24"/>
        </w:rPr>
        <w:t>с бюджет</w:t>
      </w:r>
      <w:r w:rsidR="00C94805">
        <w:rPr>
          <w:rFonts w:ascii="Times New Roman" w:hAnsi="Times New Roman"/>
          <w:sz w:val="24"/>
          <w:szCs w:val="24"/>
        </w:rPr>
        <w:t>ом</w:t>
      </w:r>
      <w:r w:rsidRPr="00C94805">
        <w:rPr>
          <w:rFonts w:ascii="Times New Roman" w:hAnsi="Times New Roman"/>
          <w:sz w:val="24"/>
          <w:szCs w:val="24"/>
        </w:rPr>
        <w:t xml:space="preserve"> </w:t>
      </w:r>
      <w:r w:rsidRPr="00134D7C">
        <w:rPr>
          <w:rFonts w:ascii="Times New Roman" w:hAnsi="Times New Roman"/>
          <w:sz w:val="24"/>
          <w:szCs w:val="24"/>
        </w:rPr>
        <w:t xml:space="preserve"> Удмуртской Республике.</w:t>
      </w:r>
    </w:p>
    <w:p w:rsidR="00104E85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При определении основных подходов к формированию  и реализации бюджетной политики </w:t>
      </w:r>
      <w:r w:rsidR="00846B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34D7C">
        <w:rPr>
          <w:rFonts w:ascii="Times New Roman" w:hAnsi="Times New Roman"/>
          <w:sz w:val="24"/>
          <w:szCs w:val="24"/>
        </w:rPr>
        <w:t xml:space="preserve">в качестве основного критерия эффективности бюджетной политики используется обеспечение сбалансированности </w:t>
      </w:r>
      <w:r w:rsidR="00846BEF">
        <w:rPr>
          <w:rFonts w:ascii="Times New Roman" w:hAnsi="Times New Roman"/>
          <w:sz w:val="24"/>
          <w:szCs w:val="24"/>
        </w:rPr>
        <w:t>Б</w:t>
      </w:r>
      <w:r w:rsidRPr="00134D7C">
        <w:rPr>
          <w:rFonts w:ascii="Times New Roman" w:hAnsi="Times New Roman"/>
          <w:sz w:val="24"/>
          <w:szCs w:val="24"/>
        </w:rPr>
        <w:t>юджета</w:t>
      </w:r>
      <w:r w:rsidR="00DF6BCB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 w:rsidR="00846BEF">
        <w:rPr>
          <w:rFonts w:ascii="Times New Roman" w:hAnsi="Times New Roman"/>
          <w:sz w:val="24"/>
          <w:szCs w:val="24"/>
        </w:rPr>
        <w:t>.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 Основным критерием оценки эффективности налоговой политики </w:t>
      </w:r>
      <w:r w:rsidR="00104E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34D7C">
        <w:rPr>
          <w:rFonts w:ascii="Times New Roman" w:hAnsi="Times New Roman"/>
          <w:sz w:val="24"/>
          <w:szCs w:val="24"/>
        </w:rPr>
        <w:t>является обеспечение устойчивого развития эконо</w:t>
      </w:r>
      <w:r w:rsidR="00104E85">
        <w:rPr>
          <w:rFonts w:ascii="Times New Roman" w:hAnsi="Times New Roman"/>
          <w:sz w:val="24"/>
          <w:szCs w:val="24"/>
        </w:rPr>
        <w:t>мики и социальной стабильности</w:t>
      </w:r>
      <w:proofErr w:type="gramStart"/>
      <w:r w:rsidR="00104E8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34D7C">
        <w:rPr>
          <w:rFonts w:ascii="Times New Roman" w:hAnsi="Times New Roman"/>
          <w:sz w:val="24"/>
          <w:szCs w:val="24"/>
        </w:rPr>
        <w:t xml:space="preserve"> 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Долговая политика </w:t>
      </w:r>
      <w:r w:rsidR="00104E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34D7C">
        <w:rPr>
          <w:rFonts w:ascii="Times New Roman" w:hAnsi="Times New Roman"/>
          <w:sz w:val="24"/>
          <w:szCs w:val="24"/>
        </w:rPr>
        <w:t xml:space="preserve">характеризуется сдерживанием роста объема </w:t>
      </w:r>
      <w:r w:rsidR="00104E85">
        <w:rPr>
          <w:rFonts w:ascii="Times New Roman" w:hAnsi="Times New Roman"/>
          <w:sz w:val="24"/>
          <w:szCs w:val="24"/>
        </w:rPr>
        <w:t>муниципальног</w:t>
      </w:r>
      <w:r w:rsidRPr="00134D7C">
        <w:rPr>
          <w:rFonts w:ascii="Times New Roman" w:hAnsi="Times New Roman"/>
          <w:sz w:val="24"/>
          <w:szCs w:val="24"/>
        </w:rPr>
        <w:t>о долга,</w:t>
      </w:r>
      <w:r w:rsidR="00104E85">
        <w:rPr>
          <w:rFonts w:ascii="Times New Roman" w:hAnsi="Times New Roman"/>
          <w:sz w:val="24"/>
          <w:szCs w:val="24"/>
        </w:rPr>
        <w:t xml:space="preserve"> отсутствием просроченных долговых обязательств, гибкостью управления, публичностью муниципальных</w:t>
      </w:r>
      <w:r w:rsidRPr="00134D7C">
        <w:rPr>
          <w:rFonts w:ascii="Times New Roman" w:hAnsi="Times New Roman"/>
          <w:sz w:val="24"/>
          <w:szCs w:val="24"/>
        </w:rPr>
        <w:t xml:space="preserve"> долг</w:t>
      </w:r>
      <w:r w:rsidR="00104E85">
        <w:rPr>
          <w:rFonts w:ascii="Times New Roman" w:hAnsi="Times New Roman"/>
          <w:sz w:val="24"/>
          <w:szCs w:val="24"/>
        </w:rPr>
        <w:t>овых обязательств</w:t>
      </w:r>
      <w:r w:rsidRPr="00134D7C">
        <w:rPr>
          <w:rFonts w:ascii="Times New Roman" w:hAnsi="Times New Roman"/>
          <w:sz w:val="24"/>
          <w:szCs w:val="24"/>
        </w:rPr>
        <w:t>.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Механизм</w:t>
      </w:r>
      <w:r w:rsidR="00EA2DE1">
        <w:rPr>
          <w:rFonts w:ascii="Times New Roman" w:hAnsi="Times New Roman"/>
          <w:sz w:val="24"/>
          <w:szCs w:val="24"/>
        </w:rPr>
        <w:t>ами</w:t>
      </w:r>
      <w:r w:rsidRPr="00134D7C">
        <w:rPr>
          <w:rFonts w:ascii="Times New Roman" w:hAnsi="Times New Roman"/>
          <w:sz w:val="24"/>
          <w:szCs w:val="24"/>
        </w:rPr>
        <w:t xml:space="preserve"> профилактики рисков реализации Бюджетного прогноза</w:t>
      </w:r>
      <w:r w:rsidR="00EA2DE1">
        <w:rPr>
          <w:rFonts w:ascii="Times New Roman" w:hAnsi="Times New Roman"/>
          <w:sz w:val="24"/>
          <w:szCs w:val="24"/>
        </w:rPr>
        <w:t xml:space="preserve"> является соблюдение </w:t>
      </w:r>
      <w:r w:rsidRPr="00134D7C">
        <w:rPr>
          <w:rFonts w:ascii="Times New Roman" w:hAnsi="Times New Roman"/>
          <w:sz w:val="24"/>
          <w:szCs w:val="24"/>
        </w:rPr>
        <w:t xml:space="preserve"> основных принципов: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со</w:t>
      </w:r>
      <w:r w:rsidR="00EA2DE1">
        <w:rPr>
          <w:rFonts w:ascii="Times New Roman" w:hAnsi="Times New Roman"/>
          <w:sz w:val="24"/>
          <w:szCs w:val="24"/>
        </w:rPr>
        <w:t xml:space="preserve">блюдение объема </w:t>
      </w:r>
      <w:r w:rsidRPr="00134D7C">
        <w:rPr>
          <w:rFonts w:ascii="Times New Roman" w:hAnsi="Times New Roman"/>
          <w:sz w:val="24"/>
          <w:szCs w:val="24"/>
        </w:rPr>
        <w:t xml:space="preserve">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долговых обязательств;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DE14D5" w:rsidRPr="00134D7C" w:rsidRDefault="00DE14D5" w:rsidP="00DE14D5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регулярность анализа и оценки рисков для </w:t>
      </w:r>
      <w:r w:rsidR="005B79CC">
        <w:rPr>
          <w:rFonts w:ascii="Times New Roman" w:hAnsi="Times New Roman"/>
          <w:sz w:val="24"/>
          <w:szCs w:val="24"/>
        </w:rPr>
        <w:t>Б</w:t>
      </w:r>
      <w:r w:rsidRPr="00134D7C">
        <w:rPr>
          <w:rFonts w:ascii="Times New Roman" w:hAnsi="Times New Roman"/>
          <w:sz w:val="24"/>
          <w:szCs w:val="24"/>
        </w:rPr>
        <w:t>юджет</w:t>
      </w:r>
      <w:r w:rsidR="005B79CC">
        <w:rPr>
          <w:rFonts w:ascii="Times New Roman" w:hAnsi="Times New Roman"/>
          <w:sz w:val="24"/>
          <w:szCs w:val="24"/>
        </w:rPr>
        <w:t xml:space="preserve">а муниципального образования. </w:t>
      </w:r>
      <w:r w:rsidRPr="00134D7C">
        <w:rPr>
          <w:rFonts w:ascii="Times New Roman" w:hAnsi="Times New Roman"/>
          <w:sz w:val="24"/>
          <w:szCs w:val="24"/>
        </w:rPr>
        <w:t xml:space="preserve"> </w:t>
      </w:r>
    </w:p>
    <w:p w:rsidR="00DE14D5" w:rsidRDefault="00DE14D5" w:rsidP="00DE14D5">
      <w:pPr>
        <w:tabs>
          <w:tab w:val="left" w:pos="1134"/>
          <w:tab w:val="num" w:pos="248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2DE0" w:rsidRPr="00134D7C" w:rsidRDefault="00EC2DE0" w:rsidP="00EC2DE0">
      <w:pPr>
        <w:tabs>
          <w:tab w:val="left" w:pos="1134"/>
          <w:tab w:val="num" w:pos="248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2DE0">
        <w:rPr>
          <w:rFonts w:ascii="Times New Roman" w:hAnsi="Times New Roman"/>
          <w:sz w:val="24"/>
          <w:szCs w:val="24"/>
        </w:rPr>
        <w:t>П</w:t>
      </w:r>
      <w:r w:rsidRPr="00134D7C">
        <w:rPr>
          <w:rFonts w:ascii="Times New Roman" w:hAnsi="Times New Roman"/>
          <w:sz w:val="24"/>
          <w:szCs w:val="24"/>
        </w:rPr>
        <w:t>одходы к прогнозированию и показатели финансового обеспечения программ</w:t>
      </w:r>
      <w:r w:rsidR="006A3F4A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 xml:space="preserve">  на период их действия</w:t>
      </w:r>
    </w:p>
    <w:p w:rsidR="00EC2DE0" w:rsidRPr="00134D7C" w:rsidRDefault="00EC2DE0" w:rsidP="0043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При определении подходов к прогнозированию показателей </w:t>
      </w:r>
      <w:r w:rsidR="006A3F4A">
        <w:rPr>
          <w:rFonts w:ascii="Times New Roman" w:hAnsi="Times New Roman"/>
          <w:sz w:val="24"/>
          <w:szCs w:val="24"/>
        </w:rPr>
        <w:t xml:space="preserve">муниципальных </w:t>
      </w:r>
      <w:r w:rsidRPr="00134D7C">
        <w:rPr>
          <w:rFonts w:ascii="Times New Roman" w:hAnsi="Times New Roman"/>
          <w:sz w:val="24"/>
          <w:szCs w:val="24"/>
        </w:rPr>
        <w:t xml:space="preserve">программ </w:t>
      </w:r>
      <w:r w:rsidR="008627AD">
        <w:rPr>
          <w:rFonts w:ascii="Times New Roman" w:hAnsi="Times New Roman"/>
          <w:sz w:val="24"/>
          <w:szCs w:val="24"/>
        </w:rPr>
        <w:t xml:space="preserve"> </w:t>
      </w:r>
      <w:r w:rsidRPr="001408DC">
        <w:rPr>
          <w:rFonts w:ascii="Times New Roman" w:hAnsi="Times New Roman"/>
          <w:sz w:val="24"/>
          <w:szCs w:val="24"/>
        </w:rPr>
        <w:t>применяются</w:t>
      </w:r>
      <w:r w:rsidRPr="00134D7C">
        <w:rPr>
          <w:rFonts w:ascii="Times New Roman" w:hAnsi="Times New Roman"/>
          <w:sz w:val="24"/>
          <w:szCs w:val="24"/>
        </w:rPr>
        <w:t xml:space="preserve"> следующие принципы:</w:t>
      </w:r>
    </w:p>
    <w:p w:rsidR="00EC2DE0" w:rsidRPr="00134D7C" w:rsidRDefault="00EC2DE0" w:rsidP="004331BE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>использование программного бюджета как инструмента для управления социально-экономическим развитием</w:t>
      </w:r>
      <w:proofErr w:type="gramStart"/>
      <w:r w:rsidRPr="00134D7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2DE0" w:rsidRPr="00134D7C" w:rsidRDefault="00EC2DE0" w:rsidP="004331BE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ориентация показателей </w:t>
      </w:r>
      <w:r w:rsidR="00C7056E">
        <w:rPr>
          <w:rFonts w:ascii="Times New Roman" w:hAnsi="Times New Roman"/>
          <w:sz w:val="24"/>
          <w:szCs w:val="24"/>
        </w:rPr>
        <w:t xml:space="preserve">муниципальных </w:t>
      </w:r>
      <w:r w:rsidRPr="00134D7C">
        <w:rPr>
          <w:rFonts w:ascii="Times New Roman" w:hAnsi="Times New Roman"/>
          <w:sz w:val="24"/>
          <w:szCs w:val="24"/>
        </w:rPr>
        <w:t>программ  на достижение долгосрочных целей социально-экономического развития;</w:t>
      </w:r>
    </w:p>
    <w:p w:rsidR="00EC2DE0" w:rsidRPr="00134D7C" w:rsidRDefault="00EC2DE0" w:rsidP="004331BE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взаимосвязь показателей </w:t>
      </w:r>
      <w:r w:rsidR="00C7056E">
        <w:rPr>
          <w:rFonts w:ascii="Times New Roman" w:hAnsi="Times New Roman"/>
          <w:sz w:val="24"/>
          <w:szCs w:val="24"/>
        </w:rPr>
        <w:t>муниципальных</w:t>
      </w:r>
      <w:r w:rsidRPr="00134D7C">
        <w:rPr>
          <w:rFonts w:ascii="Times New Roman" w:hAnsi="Times New Roman"/>
          <w:sz w:val="24"/>
          <w:szCs w:val="24"/>
        </w:rPr>
        <w:t xml:space="preserve"> программ  с показателями социально-экономического развития</w:t>
      </w:r>
      <w:r w:rsidR="00C7056E">
        <w:rPr>
          <w:rFonts w:ascii="Times New Roman" w:hAnsi="Times New Roman"/>
          <w:sz w:val="24"/>
          <w:szCs w:val="24"/>
        </w:rPr>
        <w:t xml:space="preserve"> муниципального образования «Город Воткинск»,</w:t>
      </w:r>
      <w:r w:rsidRPr="00134D7C">
        <w:rPr>
          <w:rFonts w:ascii="Times New Roman" w:hAnsi="Times New Roman"/>
          <w:sz w:val="24"/>
          <w:szCs w:val="24"/>
        </w:rPr>
        <w:t xml:space="preserve"> утвержденными документами стратегического планирования, в том числе на долгосрочный период;</w:t>
      </w:r>
    </w:p>
    <w:p w:rsidR="00EC2DE0" w:rsidRPr="00134D7C" w:rsidRDefault="00EC2DE0" w:rsidP="008C595D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обеспечение взвешенного подхода к участию </w:t>
      </w:r>
      <w:r w:rsidR="004331BE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 xml:space="preserve"> в формировании и реализации мероприятий государственных программ </w:t>
      </w:r>
      <w:r w:rsidR="004331BE">
        <w:rPr>
          <w:rFonts w:ascii="Times New Roman" w:hAnsi="Times New Roman"/>
          <w:sz w:val="24"/>
          <w:szCs w:val="24"/>
        </w:rPr>
        <w:t>Удмуртской Республики</w:t>
      </w:r>
      <w:r w:rsidRPr="00134D7C">
        <w:rPr>
          <w:rFonts w:ascii="Times New Roman" w:hAnsi="Times New Roman"/>
          <w:sz w:val="24"/>
          <w:szCs w:val="24"/>
        </w:rPr>
        <w:t>,</w:t>
      </w:r>
      <w:r w:rsidR="004331BE">
        <w:rPr>
          <w:rFonts w:ascii="Times New Roman" w:hAnsi="Times New Roman"/>
          <w:sz w:val="24"/>
          <w:szCs w:val="24"/>
        </w:rPr>
        <w:t xml:space="preserve"> </w:t>
      </w:r>
      <w:r w:rsidRPr="00134D7C">
        <w:rPr>
          <w:rFonts w:ascii="Times New Roman" w:hAnsi="Times New Roman"/>
          <w:sz w:val="24"/>
          <w:szCs w:val="24"/>
        </w:rPr>
        <w:t xml:space="preserve">адресной инвестиционной программы на территории Удмуртской Республики по обеспечению </w:t>
      </w:r>
      <w:r w:rsidR="00A1554F">
        <w:rPr>
          <w:rFonts w:ascii="Times New Roman" w:hAnsi="Times New Roman"/>
          <w:sz w:val="24"/>
          <w:szCs w:val="24"/>
        </w:rPr>
        <w:t xml:space="preserve">условий </w:t>
      </w:r>
      <w:r w:rsidRPr="00134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D7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34D7C">
        <w:rPr>
          <w:rFonts w:ascii="Times New Roman" w:hAnsi="Times New Roman"/>
          <w:sz w:val="24"/>
          <w:szCs w:val="24"/>
        </w:rPr>
        <w:t>;</w:t>
      </w:r>
    </w:p>
    <w:p w:rsidR="00EC2DE0" w:rsidRPr="00134D7C" w:rsidRDefault="00EC2DE0" w:rsidP="008C595D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7C">
        <w:rPr>
          <w:rFonts w:ascii="Times New Roman" w:hAnsi="Times New Roman"/>
          <w:sz w:val="24"/>
          <w:szCs w:val="24"/>
        </w:rPr>
        <w:t xml:space="preserve">взаимосвязь показателей программ </w:t>
      </w:r>
      <w:r w:rsidR="0005683D">
        <w:rPr>
          <w:rFonts w:ascii="Times New Roman" w:hAnsi="Times New Roman"/>
          <w:sz w:val="24"/>
          <w:szCs w:val="24"/>
        </w:rPr>
        <w:t>муниципального образования «Город Воткинск»</w:t>
      </w:r>
      <w:r w:rsidRPr="00134D7C">
        <w:rPr>
          <w:rFonts w:ascii="Times New Roman" w:hAnsi="Times New Roman"/>
          <w:sz w:val="24"/>
          <w:szCs w:val="24"/>
        </w:rPr>
        <w:t xml:space="preserve"> с</w:t>
      </w:r>
      <w:r w:rsidR="0005683D">
        <w:rPr>
          <w:rFonts w:ascii="Times New Roman" w:hAnsi="Times New Roman"/>
          <w:sz w:val="24"/>
          <w:szCs w:val="24"/>
        </w:rPr>
        <w:t xml:space="preserve"> их</w:t>
      </w:r>
      <w:r w:rsidRPr="00134D7C">
        <w:rPr>
          <w:rFonts w:ascii="Times New Roman" w:hAnsi="Times New Roman"/>
          <w:sz w:val="24"/>
          <w:szCs w:val="24"/>
        </w:rPr>
        <w:t xml:space="preserve"> ресурсным обеспечением</w:t>
      </w:r>
      <w:r w:rsidR="0005683D">
        <w:rPr>
          <w:rFonts w:ascii="Times New Roman" w:hAnsi="Times New Roman"/>
          <w:sz w:val="24"/>
          <w:szCs w:val="24"/>
        </w:rPr>
        <w:t>.</w:t>
      </w:r>
    </w:p>
    <w:p w:rsidR="00EC2DE0" w:rsidRDefault="00EC2DE0" w:rsidP="00EC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DA" w:rsidRDefault="004E7DDA" w:rsidP="004E7D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реализации Бюджетного прогноза</w:t>
      </w:r>
    </w:p>
    <w:p w:rsidR="000672A6" w:rsidRDefault="000672A6" w:rsidP="00067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2A6" w:rsidRDefault="000672A6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условиях экономической нестабильности и изменения </w:t>
      </w:r>
      <w:r w:rsidR="00824B3E">
        <w:rPr>
          <w:rFonts w:ascii="Times New Roman" w:hAnsi="Times New Roman"/>
          <w:sz w:val="24"/>
          <w:szCs w:val="24"/>
        </w:rPr>
        <w:t>правового поля</w:t>
      </w:r>
      <w:r>
        <w:rPr>
          <w:rFonts w:ascii="Times New Roman" w:hAnsi="Times New Roman"/>
          <w:sz w:val="24"/>
          <w:szCs w:val="24"/>
        </w:rPr>
        <w:t xml:space="preserve"> присутствуют риски невыполнения показателей социально-экономического развития в долгосрочном периоде:</w:t>
      </w:r>
      <w:r w:rsidR="00B37724">
        <w:rPr>
          <w:rFonts w:ascii="Times New Roman" w:hAnsi="Times New Roman"/>
          <w:sz w:val="24"/>
          <w:szCs w:val="24"/>
        </w:rPr>
        <w:t xml:space="preserve"> </w:t>
      </w:r>
    </w:p>
    <w:p w:rsidR="000672A6" w:rsidRDefault="000672A6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зависимость показателей прогноза социально-экономического развития от внешних факторов развития экономики</w:t>
      </w:r>
      <w:r w:rsidR="001F5D84">
        <w:rPr>
          <w:rFonts w:ascii="Times New Roman" w:hAnsi="Times New Roman"/>
          <w:sz w:val="24"/>
          <w:szCs w:val="24"/>
        </w:rPr>
        <w:t>;</w:t>
      </w:r>
    </w:p>
    <w:p w:rsidR="001F5D84" w:rsidRDefault="001F5D84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изменение налогового режима (налоговой системы Российской Федерации);</w:t>
      </w:r>
    </w:p>
    <w:p w:rsidR="001F5D84" w:rsidRDefault="001F5D84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4B3E">
        <w:rPr>
          <w:rFonts w:ascii="Times New Roman" w:hAnsi="Times New Roman"/>
          <w:sz w:val="24"/>
          <w:szCs w:val="24"/>
        </w:rPr>
        <w:t xml:space="preserve">правовые риски, связанные </w:t>
      </w:r>
      <w:r w:rsidR="00051981">
        <w:rPr>
          <w:rFonts w:ascii="Times New Roman" w:hAnsi="Times New Roman"/>
          <w:sz w:val="24"/>
          <w:szCs w:val="24"/>
        </w:rPr>
        <w:t>с регулированием и изменением законодательства;</w:t>
      </w:r>
    </w:p>
    <w:p w:rsidR="00051981" w:rsidRDefault="00051981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22009">
        <w:rPr>
          <w:rFonts w:ascii="Times New Roman" w:hAnsi="Times New Roman"/>
          <w:sz w:val="24"/>
          <w:szCs w:val="24"/>
        </w:rPr>
        <w:t>сохранение высоких и</w:t>
      </w:r>
      <w:r>
        <w:rPr>
          <w:rFonts w:ascii="Times New Roman" w:hAnsi="Times New Roman"/>
          <w:sz w:val="24"/>
          <w:szCs w:val="24"/>
        </w:rPr>
        <w:t>нфляци</w:t>
      </w:r>
      <w:r w:rsidR="00522009">
        <w:rPr>
          <w:rFonts w:ascii="Times New Roman" w:hAnsi="Times New Roman"/>
          <w:sz w:val="24"/>
          <w:szCs w:val="24"/>
        </w:rPr>
        <w:t>онных ожиданий</w:t>
      </w:r>
      <w:r>
        <w:rPr>
          <w:rFonts w:ascii="Times New Roman" w:hAnsi="Times New Roman"/>
          <w:sz w:val="24"/>
          <w:szCs w:val="24"/>
        </w:rPr>
        <w:t>.</w:t>
      </w:r>
    </w:p>
    <w:p w:rsidR="00B37724" w:rsidRDefault="00B37724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0542">
        <w:rPr>
          <w:rFonts w:ascii="Times New Roman" w:hAnsi="Times New Roman"/>
          <w:sz w:val="24"/>
          <w:szCs w:val="24"/>
        </w:rPr>
        <w:t xml:space="preserve">Формирования Бюджетного прогноза </w:t>
      </w:r>
      <w:r w:rsidR="006F403D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 Воткинск» на период до 2025 года </w:t>
      </w:r>
      <w:r w:rsidR="00BD0542">
        <w:rPr>
          <w:rFonts w:ascii="Times New Roman" w:hAnsi="Times New Roman"/>
          <w:sz w:val="24"/>
          <w:szCs w:val="24"/>
        </w:rPr>
        <w:t xml:space="preserve">находится в прямой зависимости между </w:t>
      </w:r>
      <w:r>
        <w:rPr>
          <w:rFonts w:ascii="Times New Roman" w:hAnsi="Times New Roman"/>
          <w:sz w:val="24"/>
          <w:szCs w:val="24"/>
        </w:rPr>
        <w:t>уровнем</w:t>
      </w:r>
      <w:r w:rsidR="00BD0542">
        <w:rPr>
          <w:rFonts w:ascii="Times New Roman" w:hAnsi="Times New Roman"/>
          <w:sz w:val="24"/>
          <w:szCs w:val="24"/>
        </w:rPr>
        <w:t xml:space="preserve"> </w:t>
      </w:r>
      <w:r w:rsidR="006F403D">
        <w:rPr>
          <w:rFonts w:ascii="Times New Roman" w:hAnsi="Times New Roman"/>
          <w:sz w:val="24"/>
          <w:szCs w:val="24"/>
        </w:rPr>
        <w:t xml:space="preserve">прогнозной </w:t>
      </w:r>
      <w:r w:rsidR="00BD0542">
        <w:rPr>
          <w:rFonts w:ascii="Times New Roman" w:hAnsi="Times New Roman"/>
          <w:sz w:val="24"/>
          <w:szCs w:val="24"/>
        </w:rPr>
        <w:t>обеспеченности</w:t>
      </w:r>
      <w:r>
        <w:rPr>
          <w:rFonts w:ascii="Times New Roman" w:hAnsi="Times New Roman"/>
          <w:sz w:val="24"/>
          <w:szCs w:val="24"/>
        </w:rPr>
        <w:t xml:space="preserve"> доход</w:t>
      </w:r>
      <w:r w:rsidR="00BD0542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274A">
        <w:rPr>
          <w:rFonts w:ascii="Times New Roman" w:hAnsi="Times New Roman"/>
          <w:sz w:val="24"/>
          <w:szCs w:val="24"/>
        </w:rPr>
        <w:t xml:space="preserve">и </w:t>
      </w:r>
      <w:r w:rsidR="009C14C6">
        <w:rPr>
          <w:rFonts w:ascii="Times New Roman" w:hAnsi="Times New Roman"/>
          <w:sz w:val="24"/>
          <w:szCs w:val="24"/>
        </w:rPr>
        <w:t>расходны</w:t>
      </w:r>
      <w:r w:rsidR="00EA274A">
        <w:rPr>
          <w:rFonts w:ascii="Times New Roman" w:hAnsi="Times New Roman"/>
          <w:sz w:val="24"/>
          <w:szCs w:val="24"/>
        </w:rPr>
        <w:t>ми</w:t>
      </w:r>
      <w:r w:rsidR="009C14C6">
        <w:rPr>
          <w:rFonts w:ascii="Times New Roman" w:hAnsi="Times New Roman"/>
          <w:sz w:val="24"/>
          <w:szCs w:val="24"/>
        </w:rPr>
        <w:t xml:space="preserve"> обязательств</w:t>
      </w:r>
      <w:r w:rsidR="00EA274A">
        <w:rPr>
          <w:rFonts w:ascii="Times New Roman" w:hAnsi="Times New Roman"/>
          <w:sz w:val="24"/>
          <w:szCs w:val="24"/>
        </w:rPr>
        <w:t>а</w:t>
      </w:r>
      <w:r w:rsidR="006F403D">
        <w:rPr>
          <w:rFonts w:ascii="Times New Roman" w:hAnsi="Times New Roman"/>
          <w:sz w:val="24"/>
          <w:szCs w:val="24"/>
        </w:rPr>
        <w:t xml:space="preserve">. </w:t>
      </w:r>
      <w:r w:rsidR="00567E83">
        <w:rPr>
          <w:rFonts w:ascii="Times New Roman" w:hAnsi="Times New Roman"/>
          <w:sz w:val="24"/>
          <w:szCs w:val="24"/>
        </w:rPr>
        <w:t xml:space="preserve"> </w:t>
      </w:r>
    </w:p>
    <w:p w:rsidR="003629A2" w:rsidRDefault="003629A2" w:rsidP="0006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Исходя из</w:t>
      </w:r>
      <w:r w:rsidR="00D247E2">
        <w:rPr>
          <w:rFonts w:ascii="Times New Roman" w:hAnsi="Times New Roman"/>
          <w:sz w:val="24"/>
          <w:szCs w:val="24"/>
        </w:rPr>
        <w:t xml:space="preserve"> возможностей</w:t>
      </w:r>
      <w:r>
        <w:rPr>
          <w:rFonts w:ascii="Times New Roman" w:hAnsi="Times New Roman"/>
          <w:sz w:val="24"/>
          <w:szCs w:val="24"/>
        </w:rPr>
        <w:t xml:space="preserve"> бюджетной обеспеченности </w:t>
      </w:r>
      <w:r w:rsidR="00D247E2">
        <w:rPr>
          <w:rFonts w:ascii="Times New Roman" w:hAnsi="Times New Roman"/>
          <w:sz w:val="24"/>
          <w:szCs w:val="24"/>
        </w:rPr>
        <w:t>опреде</w:t>
      </w:r>
      <w:r>
        <w:rPr>
          <w:rFonts w:ascii="Times New Roman" w:hAnsi="Times New Roman"/>
          <w:sz w:val="24"/>
          <w:szCs w:val="24"/>
        </w:rPr>
        <w:t>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 расходные обязательства, </w:t>
      </w:r>
      <w:r w:rsidR="00A74E49">
        <w:rPr>
          <w:rFonts w:ascii="Times New Roman" w:hAnsi="Times New Roman"/>
          <w:sz w:val="24"/>
          <w:szCs w:val="24"/>
        </w:rPr>
        <w:t>при которых</w:t>
      </w:r>
      <w:r>
        <w:rPr>
          <w:rFonts w:ascii="Times New Roman" w:hAnsi="Times New Roman"/>
          <w:sz w:val="24"/>
          <w:szCs w:val="24"/>
        </w:rPr>
        <w:t xml:space="preserve"> расходы социальной направленности являются приоритетными.  </w:t>
      </w:r>
    </w:p>
    <w:p w:rsidR="00C971FE" w:rsidRDefault="000672A6" w:rsidP="00067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71FE">
        <w:rPr>
          <w:rFonts w:ascii="Times New Roman" w:hAnsi="Times New Roman"/>
          <w:sz w:val="24"/>
          <w:szCs w:val="24"/>
        </w:rPr>
        <w:t xml:space="preserve">Стабилизация возможна посредством: </w:t>
      </w:r>
    </w:p>
    <w:p w:rsidR="00C971FE" w:rsidRDefault="00C971FE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увеличения доли налоговых и неналоговых доходов, собранных на территории муниципального образования «Город Воткинск»;</w:t>
      </w:r>
    </w:p>
    <w:p w:rsidR="00C971FE" w:rsidRDefault="00E14ED4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привлечения</w:t>
      </w:r>
      <w:r w:rsidR="00C971FE">
        <w:rPr>
          <w:rFonts w:ascii="Times New Roman" w:hAnsi="Times New Roman"/>
          <w:sz w:val="24"/>
          <w:szCs w:val="24"/>
        </w:rPr>
        <w:t xml:space="preserve"> дополнительной финансовой помощи из бюджета Удмуртской Республики на решение вопросов местно</w:t>
      </w:r>
      <w:r w:rsidR="006E70C4">
        <w:rPr>
          <w:rFonts w:ascii="Times New Roman" w:hAnsi="Times New Roman"/>
          <w:sz w:val="24"/>
          <w:szCs w:val="24"/>
        </w:rPr>
        <w:t>го значения;</w:t>
      </w:r>
    </w:p>
    <w:p w:rsidR="006E70C4" w:rsidRDefault="006E70C4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сохранени</w:t>
      </w:r>
      <w:r w:rsidR="00950B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объема внутреннего муниципального долга</w:t>
      </w:r>
      <w:r w:rsidR="00950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экономически безопасном уровне, позволяющем обеспечить привлечение заемных средств на условиях реальной возможности обслуживания и погашения долговых обязательств;</w:t>
      </w:r>
    </w:p>
    <w:p w:rsidR="006E70C4" w:rsidRDefault="006E70C4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формирование бюджетных параметров </w:t>
      </w:r>
      <w:r w:rsidR="00522009">
        <w:rPr>
          <w:rFonts w:ascii="Times New Roman" w:hAnsi="Times New Roman"/>
          <w:sz w:val="24"/>
          <w:szCs w:val="24"/>
        </w:rPr>
        <w:t xml:space="preserve">исходя </w:t>
      </w:r>
      <w:r>
        <w:rPr>
          <w:rFonts w:ascii="Times New Roman" w:hAnsi="Times New Roman"/>
          <w:sz w:val="24"/>
          <w:szCs w:val="24"/>
        </w:rPr>
        <w:t>из необходимости исполнения действующих расходных обязательств, с учетом возможности их оптимизации и повышения эффективности исполнения;</w:t>
      </w:r>
    </w:p>
    <w:p w:rsidR="006E70C4" w:rsidRDefault="006E70C4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принятие новых расходных обязательств на основе сравнительной оценки их эффективности и достижения поставленной цели</w:t>
      </w:r>
      <w:r w:rsidR="001A3050">
        <w:rPr>
          <w:rFonts w:ascii="Times New Roman" w:hAnsi="Times New Roman"/>
          <w:sz w:val="24"/>
          <w:szCs w:val="24"/>
        </w:rPr>
        <w:t>;</w:t>
      </w:r>
    </w:p>
    <w:p w:rsidR="001A3050" w:rsidRDefault="008A193C" w:rsidP="00C971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</w:t>
      </w:r>
      <w:r w:rsidR="001A3050">
        <w:rPr>
          <w:rFonts w:ascii="Times New Roman" w:hAnsi="Times New Roman"/>
          <w:sz w:val="24"/>
          <w:szCs w:val="24"/>
        </w:rPr>
        <w:t xml:space="preserve"> анализа и определения оценки рисков управления б</w:t>
      </w:r>
      <w:r>
        <w:rPr>
          <w:rFonts w:ascii="Times New Roman" w:hAnsi="Times New Roman"/>
          <w:sz w:val="24"/>
          <w:szCs w:val="24"/>
        </w:rPr>
        <w:t>юджетными ресурсами и применения</w:t>
      </w:r>
      <w:r w:rsidR="001A3050">
        <w:rPr>
          <w:rFonts w:ascii="Times New Roman" w:hAnsi="Times New Roman"/>
          <w:sz w:val="24"/>
          <w:szCs w:val="24"/>
        </w:rPr>
        <w:t xml:space="preserve"> полученных результатов </w:t>
      </w:r>
      <w:r w:rsidR="00522009">
        <w:rPr>
          <w:rFonts w:ascii="Times New Roman" w:hAnsi="Times New Roman"/>
          <w:sz w:val="24"/>
          <w:szCs w:val="24"/>
        </w:rPr>
        <w:t>в бюджетном</w:t>
      </w:r>
      <w:r w:rsidR="001A3050">
        <w:rPr>
          <w:rFonts w:ascii="Times New Roman" w:hAnsi="Times New Roman"/>
          <w:sz w:val="24"/>
          <w:szCs w:val="24"/>
        </w:rPr>
        <w:t xml:space="preserve"> планировании.</w:t>
      </w:r>
    </w:p>
    <w:p w:rsidR="00EC2DE0" w:rsidRPr="00134D7C" w:rsidRDefault="000672A6" w:rsidP="000672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C2DE0" w:rsidRPr="00134D7C">
        <w:rPr>
          <w:rFonts w:ascii="Times New Roman" w:hAnsi="Times New Roman"/>
          <w:sz w:val="24"/>
          <w:szCs w:val="24"/>
        </w:rPr>
        <w:t>___________________</w:t>
      </w:r>
    </w:p>
    <w:p w:rsidR="00EC2DE0" w:rsidRPr="00134D7C" w:rsidRDefault="00EC2DE0" w:rsidP="00EC2DE0">
      <w:pPr>
        <w:rPr>
          <w:sz w:val="24"/>
          <w:szCs w:val="24"/>
        </w:rPr>
      </w:pPr>
    </w:p>
    <w:p w:rsidR="00EC2DE0" w:rsidRPr="00134D7C" w:rsidRDefault="00EC2DE0" w:rsidP="00DE14D5">
      <w:pPr>
        <w:tabs>
          <w:tab w:val="left" w:pos="1134"/>
          <w:tab w:val="num" w:pos="2484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26B3" w:rsidRPr="00134D7C" w:rsidRDefault="00C326B3" w:rsidP="003449EA">
      <w:pPr>
        <w:tabs>
          <w:tab w:val="left" w:pos="1134"/>
          <w:tab w:val="num" w:pos="2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4745" w:rsidRDefault="002B4745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011D" w:rsidRDefault="00D1011D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7C8B" w:rsidRDefault="00DE7C8B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7C8B" w:rsidRDefault="00DE7C8B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7C8B" w:rsidRDefault="00DE7C8B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7C8B" w:rsidRPr="00134D7C" w:rsidRDefault="00DE7C8B" w:rsidP="00E9563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E7C8B" w:rsidRPr="00134D7C" w:rsidSect="00EC256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B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44153C"/>
    <w:multiLevelType w:val="hybridMultilevel"/>
    <w:tmpl w:val="20527262"/>
    <w:lvl w:ilvl="0" w:tplc="5A20FB38">
      <w:numFmt w:val="bullet"/>
      <w:lvlText w:val="-"/>
      <w:lvlJc w:val="left"/>
      <w:pPr>
        <w:tabs>
          <w:tab w:val="num" w:pos="563"/>
        </w:tabs>
        <w:ind w:left="5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3"/>
        </w:tabs>
        <w:ind w:left="1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3"/>
        </w:tabs>
        <w:ind w:left="2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3"/>
        </w:tabs>
        <w:ind w:left="2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3"/>
        </w:tabs>
        <w:ind w:left="3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3"/>
        </w:tabs>
        <w:ind w:left="4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3"/>
        </w:tabs>
        <w:ind w:left="4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3"/>
        </w:tabs>
        <w:ind w:left="5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3"/>
        </w:tabs>
        <w:ind w:left="6323" w:hanging="360"/>
      </w:pPr>
      <w:rPr>
        <w:rFonts w:ascii="Wingdings" w:hAnsi="Wingdings" w:hint="default"/>
      </w:rPr>
    </w:lvl>
  </w:abstractNum>
  <w:abstractNum w:abstractNumId="2">
    <w:nsid w:val="1D766EE7"/>
    <w:multiLevelType w:val="hybridMultilevel"/>
    <w:tmpl w:val="0C7EA9DE"/>
    <w:lvl w:ilvl="0" w:tplc="0E2E3AAA">
      <w:start w:val="2"/>
      <w:numFmt w:val="decimal"/>
      <w:lvlText w:val="%1."/>
      <w:lvlJc w:val="left"/>
      <w:pPr>
        <w:tabs>
          <w:tab w:val="num" w:pos="273"/>
        </w:tabs>
        <w:ind w:left="273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3"/>
        </w:tabs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3">
    <w:nsid w:val="2651370A"/>
    <w:multiLevelType w:val="singleLevel"/>
    <w:tmpl w:val="F2867F32"/>
    <w:lvl w:ilvl="0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4">
    <w:nsid w:val="3EC41800"/>
    <w:multiLevelType w:val="hybridMultilevel"/>
    <w:tmpl w:val="E07A6DA0"/>
    <w:lvl w:ilvl="0" w:tplc="D6D8CF08">
      <w:numFmt w:val="bullet"/>
      <w:lvlText w:val="-"/>
      <w:lvlJc w:val="left"/>
      <w:pPr>
        <w:tabs>
          <w:tab w:val="num" w:pos="136"/>
        </w:tabs>
        <w:ind w:left="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5">
    <w:nsid w:val="45423770"/>
    <w:multiLevelType w:val="singleLevel"/>
    <w:tmpl w:val="F2867F32"/>
    <w:lvl w:ilvl="0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6">
    <w:nsid w:val="5AE3766E"/>
    <w:multiLevelType w:val="hybridMultilevel"/>
    <w:tmpl w:val="29341F90"/>
    <w:lvl w:ilvl="0" w:tplc="613EEA1E">
      <w:start w:val="2"/>
      <w:numFmt w:val="decimal"/>
      <w:lvlText w:val="%1."/>
      <w:lvlJc w:val="left"/>
      <w:pPr>
        <w:tabs>
          <w:tab w:val="num" w:pos="33"/>
        </w:tabs>
        <w:ind w:left="33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3"/>
        </w:tabs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7">
    <w:nsid w:val="67CB29A2"/>
    <w:multiLevelType w:val="singleLevel"/>
    <w:tmpl w:val="F2867F32"/>
    <w:lvl w:ilvl="0"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8">
    <w:nsid w:val="74832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563A"/>
    <w:rsid w:val="00030A89"/>
    <w:rsid w:val="00031B58"/>
    <w:rsid w:val="0004124A"/>
    <w:rsid w:val="000457A5"/>
    <w:rsid w:val="00046FC8"/>
    <w:rsid w:val="00051981"/>
    <w:rsid w:val="0005683D"/>
    <w:rsid w:val="00066F6D"/>
    <w:rsid w:val="000672A6"/>
    <w:rsid w:val="00077F85"/>
    <w:rsid w:val="000C4607"/>
    <w:rsid w:val="000C4EE3"/>
    <w:rsid w:val="000D2058"/>
    <w:rsid w:val="000F00FF"/>
    <w:rsid w:val="001010AC"/>
    <w:rsid w:val="00104E85"/>
    <w:rsid w:val="00105244"/>
    <w:rsid w:val="00132DAD"/>
    <w:rsid w:val="00134D7C"/>
    <w:rsid w:val="001408DC"/>
    <w:rsid w:val="00140CC8"/>
    <w:rsid w:val="00165983"/>
    <w:rsid w:val="0017597F"/>
    <w:rsid w:val="001830E1"/>
    <w:rsid w:val="001838E7"/>
    <w:rsid w:val="0018419B"/>
    <w:rsid w:val="00185216"/>
    <w:rsid w:val="001A3050"/>
    <w:rsid w:val="001B1E76"/>
    <w:rsid w:val="001B27D3"/>
    <w:rsid w:val="001D1A52"/>
    <w:rsid w:val="001D2275"/>
    <w:rsid w:val="001D475B"/>
    <w:rsid w:val="001D5C2D"/>
    <w:rsid w:val="001E17AD"/>
    <w:rsid w:val="001F5D84"/>
    <w:rsid w:val="00200E33"/>
    <w:rsid w:val="0021174C"/>
    <w:rsid w:val="00217E3E"/>
    <w:rsid w:val="00225663"/>
    <w:rsid w:val="00246593"/>
    <w:rsid w:val="00246ED8"/>
    <w:rsid w:val="00261FB5"/>
    <w:rsid w:val="002737FB"/>
    <w:rsid w:val="00293541"/>
    <w:rsid w:val="002B30D5"/>
    <w:rsid w:val="002B3D11"/>
    <w:rsid w:val="002B4745"/>
    <w:rsid w:val="002E3350"/>
    <w:rsid w:val="002F1609"/>
    <w:rsid w:val="00304EFF"/>
    <w:rsid w:val="0031232D"/>
    <w:rsid w:val="00316DB7"/>
    <w:rsid w:val="0031798A"/>
    <w:rsid w:val="00331B9F"/>
    <w:rsid w:val="0033369A"/>
    <w:rsid w:val="00335BC0"/>
    <w:rsid w:val="00341060"/>
    <w:rsid w:val="003449EA"/>
    <w:rsid w:val="003629A2"/>
    <w:rsid w:val="00363576"/>
    <w:rsid w:val="003712CC"/>
    <w:rsid w:val="0037257F"/>
    <w:rsid w:val="003E778F"/>
    <w:rsid w:val="0040019F"/>
    <w:rsid w:val="00400A67"/>
    <w:rsid w:val="004053CE"/>
    <w:rsid w:val="004056A4"/>
    <w:rsid w:val="00407ECC"/>
    <w:rsid w:val="00413F86"/>
    <w:rsid w:val="004175C6"/>
    <w:rsid w:val="00421E82"/>
    <w:rsid w:val="004331BE"/>
    <w:rsid w:val="00436571"/>
    <w:rsid w:val="00454553"/>
    <w:rsid w:val="00486735"/>
    <w:rsid w:val="00486D81"/>
    <w:rsid w:val="00493C28"/>
    <w:rsid w:val="004A13DB"/>
    <w:rsid w:val="004A6F5B"/>
    <w:rsid w:val="004C27A1"/>
    <w:rsid w:val="004D2DB5"/>
    <w:rsid w:val="004E047A"/>
    <w:rsid w:val="004E34AD"/>
    <w:rsid w:val="004E7DDA"/>
    <w:rsid w:val="005035BC"/>
    <w:rsid w:val="00522009"/>
    <w:rsid w:val="0052676A"/>
    <w:rsid w:val="00536805"/>
    <w:rsid w:val="00556182"/>
    <w:rsid w:val="005570DB"/>
    <w:rsid w:val="00567E83"/>
    <w:rsid w:val="00573442"/>
    <w:rsid w:val="00594724"/>
    <w:rsid w:val="0059763C"/>
    <w:rsid w:val="005B79CC"/>
    <w:rsid w:val="005D00A3"/>
    <w:rsid w:val="006033F8"/>
    <w:rsid w:val="00604F7C"/>
    <w:rsid w:val="00611C2A"/>
    <w:rsid w:val="006158F5"/>
    <w:rsid w:val="006160F7"/>
    <w:rsid w:val="00625EAB"/>
    <w:rsid w:val="00630C13"/>
    <w:rsid w:val="006533CD"/>
    <w:rsid w:val="00672E59"/>
    <w:rsid w:val="006730CC"/>
    <w:rsid w:val="00674DD7"/>
    <w:rsid w:val="00677B66"/>
    <w:rsid w:val="0068343D"/>
    <w:rsid w:val="00683B8F"/>
    <w:rsid w:val="006A2F62"/>
    <w:rsid w:val="006A3F4A"/>
    <w:rsid w:val="006C56FD"/>
    <w:rsid w:val="006C72B9"/>
    <w:rsid w:val="006D1720"/>
    <w:rsid w:val="006E70C4"/>
    <w:rsid w:val="006F403D"/>
    <w:rsid w:val="00711706"/>
    <w:rsid w:val="00717A6F"/>
    <w:rsid w:val="00721E09"/>
    <w:rsid w:val="0072386A"/>
    <w:rsid w:val="007256DE"/>
    <w:rsid w:val="00740613"/>
    <w:rsid w:val="007433BE"/>
    <w:rsid w:val="00756C82"/>
    <w:rsid w:val="007A2CED"/>
    <w:rsid w:val="007C6755"/>
    <w:rsid w:val="007C7DBB"/>
    <w:rsid w:val="007D2E22"/>
    <w:rsid w:val="008013B4"/>
    <w:rsid w:val="00802DF6"/>
    <w:rsid w:val="008156FE"/>
    <w:rsid w:val="00816448"/>
    <w:rsid w:val="00824B3E"/>
    <w:rsid w:val="0083335E"/>
    <w:rsid w:val="0084658C"/>
    <w:rsid w:val="00846BEF"/>
    <w:rsid w:val="00847352"/>
    <w:rsid w:val="008627AD"/>
    <w:rsid w:val="0088282C"/>
    <w:rsid w:val="008A193C"/>
    <w:rsid w:val="008A43D7"/>
    <w:rsid w:val="008B32D3"/>
    <w:rsid w:val="008C51D9"/>
    <w:rsid w:val="008C595D"/>
    <w:rsid w:val="008F18B2"/>
    <w:rsid w:val="00916E8C"/>
    <w:rsid w:val="00920B51"/>
    <w:rsid w:val="00950B6C"/>
    <w:rsid w:val="00951406"/>
    <w:rsid w:val="00960582"/>
    <w:rsid w:val="0096174A"/>
    <w:rsid w:val="009674D4"/>
    <w:rsid w:val="00977289"/>
    <w:rsid w:val="009B3B98"/>
    <w:rsid w:val="009C0061"/>
    <w:rsid w:val="009C14C6"/>
    <w:rsid w:val="009D013C"/>
    <w:rsid w:val="009E155C"/>
    <w:rsid w:val="00A01E37"/>
    <w:rsid w:val="00A06DE3"/>
    <w:rsid w:val="00A06E4F"/>
    <w:rsid w:val="00A13DAB"/>
    <w:rsid w:val="00A1554F"/>
    <w:rsid w:val="00A47C7A"/>
    <w:rsid w:val="00A63293"/>
    <w:rsid w:val="00A734C5"/>
    <w:rsid w:val="00A74E49"/>
    <w:rsid w:val="00AA02CB"/>
    <w:rsid w:val="00AB53FE"/>
    <w:rsid w:val="00AD5CA9"/>
    <w:rsid w:val="00AE6A3F"/>
    <w:rsid w:val="00AF181D"/>
    <w:rsid w:val="00B1538A"/>
    <w:rsid w:val="00B24617"/>
    <w:rsid w:val="00B37724"/>
    <w:rsid w:val="00B43234"/>
    <w:rsid w:val="00B515DE"/>
    <w:rsid w:val="00B66222"/>
    <w:rsid w:val="00B70161"/>
    <w:rsid w:val="00B80290"/>
    <w:rsid w:val="00BA2EA2"/>
    <w:rsid w:val="00BB2A7B"/>
    <w:rsid w:val="00BC7E2F"/>
    <w:rsid w:val="00BD0542"/>
    <w:rsid w:val="00BE118C"/>
    <w:rsid w:val="00BE3F35"/>
    <w:rsid w:val="00BF21D6"/>
    <w:rsid w:val="00C326B3"/>
    <w:rsid w:val="00C44AF2"/>
    <w:rsid w:val="00C67B18"/>
    <w:rsid w:val="00C7056E"/>
    <w:rsid w:val="00C71182"/>
    <w:rsid w:val="00C74AC4"/>
    <w:rsid w:val="00C809E9"/>
    <w:rsid w:val="00C84E1C"/>
    <w:rsid w:val="00C87106"/>
    <w:rsid w:val="00C94805"/>
    <w:rsid w:val="00C971FE"/>
    <w:rsid w:val="00C9742C"/>
    <w:rsid w:val="00CA1012"/>
    <w:rsid w:val="00CC0BD5"/>
    <w:rsid w:val="00CD16C2"/>
    <w:rsid w:val="00CE1FFE"/>
    <w:rsid w:val="00CE4391"/>
    <w:rsid w:val="00CF69FD"/>
    <w:rsid w:val="00CF7F12"/>
    <w:rsid w:val="00D05F33"/>
    <w:rsid w:val="00D1011D"/>
    <w:rsid w:val="00D10610"/>
    <w:rsid w:val="00D239D8"/>
    <w:rsid w:val="00D247E2"/>
    <w:rsid w:val="00D31123"/>
    <w:rsid w:val="00D319C8"/>
    <w:rsid w:val="00D355CA"/>
    <w:rsid w:val="00D5107D"/>
    <w:rsid w:val="00D520E0"/>
    <w:rsid w:val="00D751BE"/>
    <w:rsid w:val="00D7655B"/>
    <w:rsid w:val="00D80AB7"/>
    <w:rsid w:val="00DA3682"/>
    <w:rsid w:val="00DC17D2"/>
    <w:rsid w:val="00DE0DAE"/>
    <w:rsid w:val="00DE14D5"/>
    <w:rsid w:val="00DE71A1"/>
    <w:rsid w:val="00DE7C8B"/>
    <w:rsid w:val="00DF6BCB"/>
    <w:rsid w:val="00E14ED4"/>
    <w:rsid w:val="00E20DB1"/>
    <w:rsid w:val="00E56A3D"/>
    <w:rsid w:val="00E577C3"/>
    <w:rsid w:val="00E6428D"/>
    <w:rsid w:val="00E90C36"/>
    <w:rsid w:val="00E9563A"/>
    <w:rsid w:val="00E97A66"/>
    <w:rsid w:val="00EA0F29"/>
    <w:rsid w:val="00EA274A"/>
    <w:rsid w:val="00EA2DE1"/>
    <w:rsid w:val="00EA3F73"/>
    <w:rsid w:val="00EB2722"/>
    <w:rsid w:val="00EC2563"/>
    <w:rsid w:val="00EC2DE0"/>
    <w:rsid w:val="00EE5D29"/>
    <w:rsid w:val="00EF1ED0"/>
    <w:rsid w:val="00F0232C"/>
    <w:rsid w:val="00F04510"/>
    <w:rsid w:val="00F24D9C"/>
    <w:rsid w:val="00F45A1C"/>
    <w:rsid w:val="00F524C8"/>
    <w:rsid w:val="00F53F9D"/>
    <w:rsid w:val="00F63AB9"/>
    <w:rsid w:val="00F76A38"/>
    <w:rsid w:val="00F935F8"/>
    <w:rsid w:val="00F94263"/>
    <w:rsid w:val="00FB2B08"/>
    <w:rsid w:val="00FE4C68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B5"/>
  </w:style>
  <w:style w:type="paragraph" w:styleId="1">
    <w:name w:val="heading 1"/>
    <w:basedOn w:val="a"/>
    <w:next w:val="a"/>
    <w:link w:val="10"/>
    <w:qFormat/>
    <w:rsid w:val="001E1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E9563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95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17AD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Body Text"/>
    <w:basedOn w:val="a"/>
    <w:link w:val="a5"/>
    <w:rsid w:val="001E1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E17A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1E17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E17A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1E17AD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semiHidden/>
    <w:unhideWhenUsed/>
    <w:rsid w:val="00413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13F86"/>
    <w:rPr>
      <w:sz w:val="16"/>
      <w:szCs w:val="16"/>
    </w:rPr>
  </w:style>
  <w:style w:type="paragraph" w:styleId="a9">
    <w:name w:val="Title"/>
    <w:basedOn w:val="a"/>
    <w:link w:val="aa"/>
    <w:qFormat/>
    <w:rsid w:val="00413F86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13F8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lock Text"/>
    <w:basedOn w:val="a"/>
    <w:semiHidden/>
    <w:rsid w:val="00413F86"/>
    <w:pPr>
      <w:spacing w:after="0" w:line="240" w:lineRule="auto"/>
      <w:ind w:left="-426" w:right="284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semiHidden/>
    <w:rsid w:val="00413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13F86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41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413F8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semiHidden/>
    <w:unhideWhenUsed/>
    <w:rsid w:val="0041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413F8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413F86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413F86"/>
    <w:rPr>
      <w:rFonts w:ascii="Times New Roman" w:eastAsia="Times New Roman" w:hAnsi="Times New Roman" w:cs="Times New Roman"/>
    </w:rPr>
  </w:style>
  <w:style w:type="paragraph" w:customStyle="1" w:styleId="DecimalAligned">
    <w:name w:val="Decimal Aligned"/>
    <w:basedOn w:val="a"/>
    <w:qFormat/>
    <w:rsid w:val="00413F86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2">
    <w:name w:val="footnote text"/>
    <w:basedOn w:val="a"/>
    <w:link w:val="af3"/>
    <w:semiHidden/>
    <w:unhideWhenUsed/>
    <w:rsid w:val="00413F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413F86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Subtle Emphasis"/>
    <w:basedOn w:val="a0"/>
    <w:qFormat/>
    <w:rsid w:val="00413F86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af5">
    <w:name w:val="Table Grid"/>
    <w:basedOn w:val="a1"/>
    <w:uiPriority w:val="59"/>
    <w:rsid w:val="0041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C336C6EA0D128CF9E954752D5EE5716D93BDF68203935DC3E68E809B59EB6939BEE0C67C116D02F4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0D42-0D25-4454-81A7-E2B44F8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282</cp:revision>
  <cp:lastPrinted>2019-02-04T12:32:00Z</cp:lastPrinted>
  <dcterms:created xsi:type="dcterms:W3CDTF">2018-08-01T10:55:00Z</dcterms:created>
  <dcterms:modified xsi:type="dcterms:W3CDTF">2019-02-01T13:12:00Z</dcterms:modified>
</cp:coreProperties>
</file>